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2" w:rsidRPr="00ED2ACD" w:rsidRDefault="00CB0512" w:rsidP="00CB0512">
      <w:pPr>
        <w:ind w:firstLine="709"/>
        <w:jc w:val="center"/>
        <w:rPr>
          <w:b/>
          <w:bCs/>
        </w:rPr>
      </w:pPr>
    </w:p>
    <w:p w:rsidR="00886245" w:rsidRDefault="00886245" w:rsidP="00CB0512">
      <w:pPr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CB0512" w:rsidRPr="00ED2ACD" w:rsidRDefault="00886245" w:rsidP="00CB0512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К </w:t>
      </w:r>
      <w:r w:rsidR="00DB37C8">
        <w:rPr>
          <w:b/>
          <w:bCs/>
        </w:rPr>
        <w:t xml:space="preserve"> </w:t>
      </w:r>
      <w:r w:rsidR="00CB0512" w:rsidRPr="00ED2ACD">
        <w:rPr>
          <w:b/>
          <w:bCs/>
        </w:rPr>
        <w:t>Прогноз</w:t>
      </w:r>
      <w:r>
        <w:rPr>
          <w:b/>
          <w:bCs/>
        </w:rPr>
        <w:t>у</w:t>
      </w:r>
      <w:r w:rsidR="00CB0512" w:rsidRPr="00ED2ACD">
        <w:rPr>
          <w:b/>
          <w:bCs/>
        </w:rPr>
        <w:t xml:space="preserve"> социально-экономического развития муниципального образования </w:t>
      </w:r>
      <w:proofErr w:type="spellStart"/>
      <w:r w:rsidR="00A4156F">
        <w:rPr>
          <w:b/>
          <w:bCs/>
        </w:rPr>
        <w:t>Кетовский</w:t>
      </w:r>
      <w:proofErr w:type="spellEnd"/>
      <w:r w:rsidR="00A4156F">
        <w:rPr>
          <w:b/>
          <w:bCs/>
        </w:rPr>
        <w:t xml:space="preserve"> район на 2018</w:t>
      </w:r>
      <w:r w:rsidR="00CB0512" w:rsidRPr="00ED2ACD">
        <w:rPr>
          <w:b/>
          <w:bCs/>
        </w:rPr>
        <w:t xml:space="preserve"> год и на плановый период 201</w:t>
      </w:r>
      <w:r w:rsidR="00A4156F">
        <w:rPr>
          <w:b/>
          <w:bCs/>
        </w:rPr>
        <w:t>9-2020</w:t>
      </w:r>
      <w:r w:rsidR="00CB0512" w:rsidRPr="00ED2ACD">
        <w:rPr>
          <w:b/>
          <w:bCs/>
        </w:rPr>
        <w:t xml:space="preserve"> годы</w:t>
      </w:r>
    </w:p>
    <w:p w:rsidR="00CB0512" w:rsidRPr="00ED2ACD" w:rsidRDefault="00CB0512" w:rsidP="00CB0512">
      <w:pPr>
        <w:ind w:firstLine="709"/>
        <w:jc w:val="center"/>
        <w:rPr>
          <w:b/>
          <w:bCs/>
        </w:rPr>
      </w:pPr>
    </w:p>
    <w:p w:rsidR="00CB0512" w:rsidRPr="00ED2ACD" w:rsidRDefault="00CB0512" w:rsidP="00CB0512">
      <w:pPr>
        <w:ind w:firstLine="851"/>
        <w:jc w:val="both"/>
      </w:pPr>
      <w:proofErr w:type="gramStart"/>
      <w:r w:rsidRPr="00ED2ACD">
        <w:t xml:space="preserve">Прогноз социально-экономического развития муниципального образования </w:t>
      </w:r>
      <w:proofErr w:type="spellStart"/>
      <w:r w:rsidR="001007D2">
        <w:t>Кетовский</w:t>
      </w:r>
      <w:proofErr w:type="spellEnd"/>
      <w:r w:rsidR="001007D2">
        <w:t xml:space="preserve"> район</w:t>
      </w:r>
      <w:r w:rsidRPr="00ED2ACD">
        <w:t xml:space="preserve"> на 201</w:t>
      </w:r>
      <w:r w:rsidR="00A4156F">
        <w:t>8</w:t>
      </w:r>
      <w:r w:rsidRPr="00ED2ACD">
        <w:t xml:space="preserve"> го</w:t>
      </w:r>
      <w:r w:rsidR="001007D2">
        <w:t xml:space="preserve">д и на период </w:t>
      </w:r>
      <w:r w:rsidR="00A4156F">
        <w:t xml:space="preserve"> 2019 - 2020</w:t>
      </w:r>
      <w:r w:rsidR="001007D2">
        <w:t xml:space="preserve"> годы</w:t>
      </w:r>
      <w:r w:rsidRPr="00ED2ACD">
        <w:t xml:space="preserve"> разработан в соответствии с Бюджетным кодексом РФ (с изменениями и дополнениями), сценарными условиями функционирования экономики РФ, индексами-дефляторами цен, рекомендованными Министерством экономического развития РФ, а также на основе базовых документов, определяющих ориентиры и приоритеты развития РФ, </w:t>
      </w:r>
      <w:r w:rsidR="005C6C8D">
        <w:t>Курганской области</w:t>
      </w:r>
      <w:r w:rsidRPr="00ED2ACD">
        <w:t xml:space="preserve"> и муниципального образования </w:t>
      </w:r>
      <w:proofErr w:type="spellStart"/>
      <w:r w:rsidR="005C6C8D">
        <w:t>Кетовский</w:t>
      </w:r>
      <w:proofErr w:type="spellEnd"/>
      <w:r w:rsidR="005C6C8D">
        <w:t xml:space="preserve"> район</w:t>
      </w:r>
      <w:r w:rsidRPr="00ED2ACD">
        <w:t>.</w:t>
      </w:r>
      <w:proofErr w:type="gramEnd"/>
    </w:p>
    <w:p w:rsidR="00CB0512" w:rsidRPr="00ED2ACD" w:rsidRDefault="00CB0512" w:rsidP="00CB0512">
      <w:pPr>
        <w:ind w:firstLine="851"/>
        <w:jc w:val="both"/>
      </w:pPr>
      <w:r w:rsidRPr="00ED2ACD">
        <w:t>Показатели прогноза разработаны на базе статистических данных за 201</w:t>
      </w:r>
      <w:r w:rsidR="00E31170">
        <w:t>5</w:t>
      </w:r>
      <w:r w:rsidRPr="00ED2ACD">
        <w:t>-201</w:t>
      </w:r>
      <w:r w:rsidR="00E31170">
        <w:t>6</w:t>
      </w:r>
      <w:r w:rsidRPr="00ED2ACD">
        <w:t xml:space="preserve"> годы и январь-</w:t>
      </w:r>
      <w:r w:rsidR="00C26898">
        <w:t>июл</w:t>
      </w:r>
      <w:r w:rsidR="00A971D7">
        <w:t>ь</w:t>
      </w:r>
      <w:r w:rsidRPr="00ED2ACD">
        <w:t xml:space="preserve"> 201</w:t>
      </w:r>
      <w:r w:rsidR="00E31170">
        <w:t>7</w:t>
      </w:r>
      <w:r w:rsidRPr="00ED2ACD">
        <w:t xml:space="preserve"> года, оперативных данных и предварительных итогов финансовой и хозяйственной деятельности предприятий  и организаций различных секторов экономики </w:t>
      </w:r>
      <w:r w:rsidR="00FD45B8">
        <w:t>района</w:t>
      </w:r>
      <w:r w:rsidRPr="00ED2ACD">
        <w:t>, социально-демографических процессов, а также с учетом тенденций, складывающихся в экономике и социальной сфере муниципального образования в 201</w:t>
      </w:r>
      <w:r w:rsidR="00E31170">
        <w:t>7</w:t>
      </w:r>
      <w:r w:rsidRPr="00ED2ACD">
        <w:t xml:space="preserve"> году. </w:t>
      </w:r>
    </w:p>
    <w:p w:rsidR="00CB0512" w:rsidRPr="00ED2ACD" w:rsidRDefault="00CB0512" w:rsidP="00CB0512">
      <w:pPr>
        <w:ind w:firstLine="709"/>
        <w:jc w:val="both"/>
      </w:pPr>
      <w:r w:rsidRPr="00ED2ACD">
        <w:t xml:space="preserve">В пояснительной записке к прогнозу социально-экономического развития муниципального образования </w:t>
      </w:r>
      <w:proofErr w:type="spellStart"/>
      <w:r w:rsidR="00FD45B8">
        <w:t>Кетовский</w:t>
      </w:r>
      <w:proofErr w:type="spellEnd"/>
      <w:r w:rsidR="00FD45B8">
        <w:t xml:space="preserve"> район</w:t>
      </w:r>
      <w:r w:rsidRPr="00ED2ACD">
        <w:t xml:space="preserve"> отражены тенденции развития экономики в 201</w:t>
      </w:r>
      <w:r w:rsidR="00E31170">
        <w:t>7</w:t>
      </w:r>
      <w:r w:rsidRPr="00ED2ACD">
        <w:t xml:space="preserve"> году, основные аспекты развития на 201</w:t>
      </w:r>
      <w:r w:rsidR="00E31170">
        <w:t>8</w:t>
      </w:r>
      <w:r w:rsidRPr="00ED2ACD">
        <w:t xml:space="preserve"> год и на период</w:t>
      </w:r>
      <w:r w:rsidR="00E31170">
        <w:t xml:space="preserve"> до 2020</w:t>
      </w:r>
      <w:r w:rsidRPr="00ED2ACD">
        <w:t xml:space="preserve"> года.</w:t>
      </w:r>
    </w:p>
    <w:p w:rsidR="00CB0512" w:rsidRPr="00ED2ACD" w:rsidRDefault="00CB0512" w:rsidP="00CB0512">
      <w:pPr>
        <w:ind w:firstLine="709"/>
        <w:jc w:val="both"/>
      </w:pPr>
    </w:p>
    <w:p w:rsidR="00CB0512" w:rsidRPr="00ED2ACD" w:rsidRDefault="00CB0512" w:rsidP="00CB0512">
      <w:pPr>
        <w:ind w:firstLine="709"/>
        <w:jc w:val="center"/>
        <w:rPr>
          <w:b/>
          <w:bCs/>
        </w:rPr>
      </w:pPr>
    </w:p>
    <w:p w:rsidR="00CB0512" w:rsidRPr="00ED2ACD" w:rsidRDefault="00CB0512" w:rsidP="00CB0512">
      <w:pPr>
        <w:ind w:left="360"/>
        <w:jc w:val="center"/>
        <w:rPr>
          <w:b/>
          <w:bCs/>
        </w:rPr>
      </w:pPr>
      <w:r w:rsidRPr="00ED2ACD">
        <w:rPr>
          <w:b/>
          <w:bCs/>
          <w:lang w:val="en-US"/>
        </w:rPr>
        <w:t>I</w:t>
      </w:r>
      <w:r w:rsidRPr="00ED2ACD">
        <w:rPr>
          <w:b/>
          <w:bCs/>
        </w:rPr>
        <w:t xml:space="preserve">. Предварительные итоги социально-экономического развития </w:t>
      </w:r>
      <w:proofErr w:type="spellStart"/>
      <w:r w:rsidR="007F6063">
        <w:rPr>
          <w:b/>
          <w:bCs/>
        </w:rPr>
        <w:t>Кетовского</w:t>
      </w:r>
      <w:proofErr w:type="spellEnd"/>
      <w:r w:rsidR="007F6063">
        <w:rPr>
          <w:b/>
          <w:bCs/>
        </w:rPr>
        <w:t xml:space="preserve"> района</w:t>
      </w:r>
      <w:r w:rsidRPr="00ED2ACD">
        <w:rPr>
          <w:b/>
          <w:bCs/>
        </w:rPr>
        <w:t xml:space="preserve"> за январь-</w:t>
      </w:r>
      <w:r w:rsidR="00A44067" w:rsidRPr="00DB0F20">
        <w:rPr>
          <w:b/>
          <w:bCs/>
          <w:color w:val="000000" w:themeColor="text1"/>
        </w:rPr>
        <w:t>июль</w:t>
      </w:r>
      <w:r w:rsidRPr="00ED2ACD">
        <w:rPr>
          <w:b/>
          <w:bCs/>
        </w:rPr>
        <w:t xml:space="preserve"> 201</w:t>
      </w:r>
      <w:r w:rsidR="004E55E5">
        <w:rPr>
          <w:b/>
          <w:bCs/>
        </w:rPr>
        <w:t>7</w:t>
      </w:r>
      <w:r w:rsidRPr="00ED2ACD">
        <w:rPr>
          <w:b/>
          <w:bCs/>
        </w:rPr>
        <w:t xml:space="preserve"> года</w:t>
      </w:r>
    </w:p>
    <w:p w:rsidR="00CB0512" w:rsidRPr="00ED2ACD" w:rsidRDefault="00CB0512" w:rsidP="00CB0512">
      <w:pPr>
        <w:ind w:left="360"/>
        <w:jc w:val="both"/>
        <w:rPr>
          <w:b/>
          <w:bCs/>
          <w:sz w:val="32"/>
          <w:szCs w:val="32"/>
        </w:rPr>
      </w:pPr>
    </w:p>
    <w:p w:rsidR="00C7676F" w:rsidRDefault="00CB0512" w:rsidP="00CB0512">
      <w:pPr>
        <w:spacing w:before="60"/>
        <w:ind w:firstLine="709"/>
        <w:jc w:val="both"/>
        <w:rPr>
          <w:szCs w:val="20"/>
        </w:rPr>
      </w:pPr>
      <w:r w:rsidRPr="00ED2ACD">
        <w:rPr>
          <w:szCs w:val="20"/>
        </w:rPr>
        <w:t xml:space="preserve"> По предварительным итогам за январь-</w:t>
      </w:r>
      <w:r w:rsidR="005E7D7E" w:rsidRPr="00DB0F20">
        <w:rPr>
          <w:color w:val="000000" w:themeColor="text1"/>
          <w:szCs w:val="20"/>
        </w:rPr>
        <w:t>июль</w:t>
      </w:r>
      <w:r w:rsidRPr="00ED2ACD">
        <w:rPr>
          <w:szCs w:val="20"/>
        </w:rPr>
        <w:t xml:space="preserve"> 201</w:t>
      </w:r>
      <w:r w:rsidR="00C26898">
        <w:rPr>
          <w:szCs w:val="20"/>
        </w:rPr>
        <w:t>7</w:t>
      </w:r>
      <w:r w:rsidRPr="00ED2ACD">
        <w:rPr>
          <w:szCs w:val="20"/>
        </w:rPr>
        <w:t xml:space="preserve"> года в муниципальном образовании </w:t>
      </w:r>
      <w:proofErr w:type="spellStart"/>
      <w:r w:rsidR="005E7D7E">
        <w:rPr>
          <w:szCs w:val="20"/>
        </w:rPr>
        <w:t>Кетовский</w:t>
      </w:r>
      <w:proofErr w:type="spellEnd"/>
      <w:r w:rsidR="005E7D7E">
        <w:rPr>
          <w:szCs w:val="20"/>
        </w:rPr>
        <w:t xml:space="preserve"> район</w:t>
      </w:r>
      <w:r w:rsidRPr="00ED2ACD">
        <w:rPr>
          <w:szCs w:val="20"/>
        </w:rPr>
        <w:t xml:space="preserve"> отмечается </w:t>
      </w:r>
      <w:r w:rsidR="00C7676F">
        <w:rPr>
          <w:szCs w:val="20"/>
        </w:rPr>
        <w:t xml:space="preserve">как </w:t>
      </w:r>
      <w:r w:rsidRPr="00ED2ACD">
        <w:rPr>
          <w:szCs w:val="20"/>
        </w:rPr>
        <w:t>положительная</w:t>
      </w:r>
      <w:r w:rsidR="00C7676F">
        <w:rPr>
          <w:szCs w:val="20"/>
        </w:rPr>
        <w:t>,</w:t>
      </w:r>
      <w:r w:rsidRPr="00ED2ACD">
        <w:rPr>
          <w:szCs w:val="20"/>
        </w:rPr>
        <w:t xml:space="preserve"> </w:t>
      </w:r>
      <w:r w:rsidR="00C7676F">
        <w:rPr>
          <w:szCs w:val="20"/>
        </w:rPr>
        <w:t xml:space="preserve">так и отрицательная </w:t>
      </w:r>
      <w:r w:rsidRPr="00ED2ACD">
        <w:rPr>
          <w:szCs w:val="20"/>
        </w:rPr>
        <w:t>динамика показател</w:t>
      </w:r>
      <w:r w:rsidR="00C7676F">
        <w:rPr>
          <w:szCs w:val="20"/>
        </w:rPr>
        <w:t>ей</w:t>
      </w:r>
      <w:r w:rsidRPr="00ED2ACD">
        <w:rPr>
          <w:szCs w:val="20"/>
        </w:rPr>
        <w:t xml:space="preserve"> социально-экономического развития территории</w:t>
      </w:r>
      <w:r w:rsidR="00C7676F">
        <w:rPr>
          <w:szCs w:val="20"/>
        </w:rPr>
        <w:t>.</w:t>
      </w:r>
    </w:p>
    <w:p w:rsidR="00CB0512" w:rsidRPr="00C7676F" w:rsidRDefault="00C7676F" w:rsidP="00CB0512">
      <w:pPr>
        <w:spacing w:before="60"/>
        <w:ind w:firstLine="709"/>
        <w:jc w:val="both"/>
        <w:rPr>
          <w:i/>
          <w:sz w:val="96"/>
          <w:szCs w:val="20"/>
          <w:u w:val="single"/>
        </w:rPr>
      </w:pPr>
      <w:r w:rsidRPr="00C7676F">
        <w:rPr>
          <w:i/>
          <w:szCs w:val="20"/>
          <w:u w:val="single"/>
        </w:rPr>
        <w:t>Положительные</w:t>
      </w:r>
      <w:r w:rsidR="00482974">
        <w:rPr>
          <w:i/>
          <w:szCs w:val="20"/>
          <w:u w:val="single"/>
        </w:rPr>
        <w:t xml:space="preserve"> показатели</w:t>
      </w:r>
      <w:r w:rsidRPr="00C7676F">
        <w:rPr>
          <w:i/>
          <w:u w:val="single"/>
        </w:rPr>
        <w:t>:</w:t>
      </w:r>
    </w:p>
    <w:p w:rsidR="00CB0512" w:rsidRPr="00ED2ACD" w:rsidRDefault="00CB0512" w:rsidP="00CB0512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ED2ACD">
        <w:rPr>
          <w:b/>
        </w:rPr>
        <w:t>численность населения</w:t>
      </w:r>
      <w:r w:rsidRPr="00ED2ACD">
        <w:t xml:space="preserve"> </w:t>
      </w:r>
      <w:proofErr w:type="spellStart"/>
      <w:r w:rsidR="00152B63">
        <w:t>К</w:t>
      </w:r>
      <w:r w:rsidR="00BC50C6">
        <w:t>етовского</w:t>
      </w:r>
      <w:proofErr w:type="spellEnd"/>
      <w:r w:rsidR="00BC50C6">
        <w:t xml:space="preserve"> района</w:t>
      </w:r>
      <w:r w:rsidRPr="00ED2ACD">
        <w:t xml:space="preserve"> на 01.01.201</w:t>
      </w:r>
      <w:r w:rsidR="00C811CD">
        <w:t>7</w:t>
      </w:r>
      <w:r w:rsidRPr="00ED2ACD">
        <w:t xml:space="preserve"> г. составляла </w:t>
      </w:r>
      <w:r w:rsidR="00C811CD">
        <w:t>61770</w:t>
      </w:r>
      <w:r w:rsidRPr="00ED2ACD">
        <w:t xml:space="preserve"> чел. На 01.0</w:t>
      </w:r>
      <w:r w:rsidR="00C26898">
        <w:t>8</w:t>
      </w:r>
      <w:r w:rsidRPr="00ED2ACD">
        <w:t>.201</w:t>
      </w:r>
      <w:r w:rsidR="00F15C6C">
        <w:t>7</w:t>
      </w:r>
      <w:r w:rsidR="00152B63">
        <w:t xml:space="preserve"> г. </w:t>
      </w:r>
      <w:r w:rsidRPr="00ED2ACD">
        <w:t xml:space="preserve"> население увеличилось на </w:t>
      </w:r>
      <w:r w:rsidR="003C2CC3">
        <w:t>71</w:t>
      </w:r>
      <w:r w:rsidR="00152B63">
        <w:t xml:space="preserve"> человек</w:t>
      </w:r>
      <w:r w:rsidR="00AF3452">
        <w:t>а</w:t>
      </w:r>
      <w:r w:rsidRPr="00ED2ACD">
        <w:t xml:space="preserve"> и составил</w:t>
      </w:r>
      <w:r w:rsidR="00152B63">
        <w:t>о</w:t>
      </w:r>
      <w:r w:rsidRPr="00ED2ACD">
        <w:t xml:space="preserve">  </w:t>
      </w:r>
      <w:r w:rsidR="003C2CC3">
        <w:t>61841</w:t>
      </w:r>
      <w:r w:rsidRPr="00ED2ACD">
        <w:t xml:space="preserve"> чел.</w:t>
      </w:r>
      <w:r w:rsidR="00931FC7">
        <w:t>;</w:t>
      </w:r>
    </w:p>
    <w:p w:rsidR="00CB0512" w:rsidRDefault="00CB0512" w:rsidP="00CB0512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ED2ACD">
        <w:t xml:space="preserve">в январе - </w:t>
      </w:r>
      <w:r w:rsidR="00D11C70">
        <w:t>июл</w:t>
      </w:r>
      <w:r w:rsidR="00491423">
        <w:t>е</w:t>
      </w:r>
      <w:r w:rsidRPr="00ED2ACD">
        <w:t xml:space="preserve"> 201</w:t>
      </w:r>
      <w:r w:rsidR="00922E34">
        <w:t>7</w:t>
      </w:r>
      <w:r w:rsidRPr="00ED2ACD">
        <w:t xml:space="preserve"> года </w:t>
      </w:r>
      <w:r w:rsidRPr="00ED2ACD">
        <w:rPr>
          <w:b/>
        </w:rPr>
        <w:t>среднемесячная заработная плата</w:t>
      </w:r>
      <w:r w:rsidRPr="00ED2ACD">
        <w:t xml:space="preserve"> составила </w:t>
      </w:r>
      <w:r w:rsidR="00D11C70" w:rsidRPr="004F5BDB">
        <w:t>21983</w:t>
      </w:r>
      <w:r w:rsidR="00D11C70">
        <w:t>,</w:t>
      </w:r>
      <w:r w:rsidR="00D11C70" w:rsidRPr="004F5BDB">
        <w:t>2</w:t>
      </w:r>
      <w:r w:rsidR="00D11C70">
        <w:t xml:space="preserve"> </w:t>
      </w:r>
      <w:r w:rsidR="00BE2DE7" w:rsidRPr="00BC63ED">
        <w:rPr>
          <w:color w:val="000000" w:themeColor="text1"/>
        </w:rPr>
        <w:t>руб</w:t>
      </w:r>
      <w:r w:rsidR="00BE2DE7">
        <w:t>. и во</w:t>
      </w:r>
      <w:r w:rsidRPr="00ED2ACD">
        <w:t xml:space="preserve">зросла на </w:t>
      </w:r>
      <w:r w:rsidR="00D11C70">
        <w:t>6,5</w:t>
      </w:r>
      <w:r w:rsidRPr="00ED2ACD">
        <w:t>% по сравнению</w:t>
      </w:r>
      <w:r w:rsidR="00BC63ED">
        <w:t xml:space="preserve"> с соответствующим периодом 2016</w:t>
      </w:r>
      <w:r w:rsidRPr="00ED2ACD">
        <w:t xml:space="preserve"> года</w:t>
      </w:r>
      <w:r w:rsidR="00931FC7">
        <w:t>;</w:t>
      </w:r>
    </w:p>
    <w:p w:rsidR="00DA0A81" w:rsidRDefault="00DA0A81" w:rsidP="00DA0A81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ED2ACD">
        <w:rPr>
          <w:b/>
        </w:rPr>
        <w:t xml:space="preserve">количество обратившихся граждан по вопросу трудоустройства </w:t>
      </w:r>
      <w:r w:rsidRPr="00ED2ACD">
        <w:t xml:space="preserve">составило </w:t>
      </w:r>
      <w:r w:rsidR="004E2439">
        <w:t>899</w:t>
      </w:r>
      <w:r w:rsidRPr="00ED2ACD">
        <w:t xml:space="preserve"> чел., что </w:t>
      </w:r>
      <w:r>
        <w:t xml:space="preserve">на </w:t>
      </w:r>
      <w:r w:rsidR="004E2439">
        <w:t>99 человек</w:t>
      </w:r>
      <w:r>
        <w:t xml:space="preserve"> меньше, чем за аналогичный период прошлого года;</w:t>
      </w:r>
    </w:p>
    <w:p w:rsidR="006071C1" w:rsidRDefault="006071C1" w:rsidP="006071C1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ED2ACD">
        <w:rPr>
          <w:b/>
        </w:rPr>
        <w:lastRenderedPageBreak/>
        <w:t>уровень регистрируемой безработицы</w:t>
      </w:r>
      <w:r w:rsidRPr="00ED2ACD">
        <w:t xml:space="preserve">  за </w:t>
      </w:r>
      <w:r>
        <w:t>8</w:t>
      </w:r>
      <w:r w:rsidRPr="00ED2ACD">
        <w:t xml:space="preserve"> месяцев 201</w:t>
      </w:r>
      <w:r>
        <w:t xml:space="preserve">7 </w:t>
      </w:r>
      <w:r w:rsidRPr="00ED2ACD">
        <w:t xml:space="preserve">года составил </w:t>
      </w:r>
      <w:r>
        <w:t>1,71</w:t>
      </w:r>
      <w:r w:rsidRPr="00ED2ACD">
        <w:t xml:space="preserve">% </w:t>
      </w:r>
      <w:r>
        <w:t>от экономически активного населения, что на 0,05 % меньше, чем на 01.09.2016 г.;</w:t>
      </w:r>
    </w:p>
    <w:p w:rsidR="006071C1" w:rsidRPr="006071C1" w:rsidRDefault="00186238" w:rsidP="00186238">
      <w:pPr>
        <w:pStyle w:val="aff1"/>
        <w:numPr>
          <w:ilvl w:val="1"/>
          <w:numId w:val="14"/>
        </w:numPr>
        <w:tabs>
          <w:tab w:val="clear" w:pos="2023"/>
          <w:tab w:val="left" w:pos="-4678"/>
          <w:tab w:val="num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1C1" w:rsidRPr="006071C1">
        <w:rPr>
          <w:b/>
          <w:sz w:val="28"/>
          <w:szCs w:val="28"/>
        </w:rPr>
        <w:t xml:space="preserve">объем производства продуктов животноводства </w:t>
      </w:r>
      <w:r w:rsidR="006071C1" w:rsidRPr="006071C1">
        <w:rPr>
          <w:sz w:val="28"/>
          <w:szCs w:val="28"/>
        </w:rPr>
        <w:t>в сельскохозяйственных организациях за отчетный период составил:</w:t>
      </w:r>
    </w:p>
    <w:p w:rsidR="006071C1" w:rsidRPr="006071C1" w:rsidRDefault="006071C1" w:rsidP="006071C1">
      <w:pPr>
        <w:pStyle w:val="aff1"/>
        <w:numPr>
          <w:ilvl w:val="1"/>
          <w:numId w:val="14"/>
        </w:numPr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 w:rsidRPr="006071C1">
        <w:rPr>
          <w:sz w:val="28"/>
          <w:szCs w:val="28"/>
        </w:rPr>
        <w:t xml:space="preserve">мясо скота и птицы </w:t>
      </w:r>
      <w:r w:rsidRPr="006071C1">
        <w:rPr>
          <w:color w:val="000000" w:themeColor="text1"/>
          <w:sz w:val="28"/>
          <w:szCs w:val="28"/>
        </w:rPr>
        <w:t>8733,8</w:t>
      </w:r>
      <w:r w:rsidRPr="006071C1">
        <w:rPr>
          <w:color w:val="FF0000"/>
          <w:sz w:val="28"/>
          <w:szCs w:val="28"/>
        </w:rPr>
        <w:t xml:space="preserve"> </w:t>
      </w:r>
      <w:r w:rsidRPr="006071C1">
        <w:rPr>
          <w:sz w:val="28"/>
          <w:szCs w:val="28"/>
        </w:rPr>
        <w:t>тонн и увеличился на 10,5% по сравнению с соответствующим периодом 2016 года.</w:t>
      </w:r>
    </w:p>
    <w:p w:rsidR="00960B0C" w:rsidRPr="00ED2ACD" w:rsidRDefault="00960B0C" w:rsidP="00CF0B36">
      <w:pPr>
        <w:tabs>
          <w:tab w:val="left" w:pos="0"/>
          <w:tab w:val="left" w:pos="1134"/>
        </w:tabs>
        <w:ind w:firstLine="1134"/>
        <w:jc w:val="both"/>
      </w:pPr>
    </w:p>
    <w:p w:rsidR="00CA7756" w:rsidRPr="00CA7756" w:rsidRDefault="00CB0512" w:rsidP="00CA7756">
      <w:pPr>
        <w:ind w:firstLine="720"/>
        <w:jc w:val="both"/>
        <w:rPr>
          <w:color w:val="000000" w:themeColor="text1"/>
        </w:rPr>
      </w:pPr>
      <w:r w:rsidRPr="00A51945">
        <w:t xml:space="preserve">В отчетном периоде по сравнению </w:t>
      </w:r>
      <w:r w:rsidR="00BE2DE7" w:rsidRPr="00A51945">
        <w:t>с</w:t>
      </w:r>
      <w:r w:rsidRPr="00A51945">
        <w:t xml:space="preserve"> 201</w:t>
      </w:r>
      <w:r w:rsidR="007152AF">
        <w:t>6</w:t>
      </w:r>
      <w:r w:rsidRPr="00A51945">
        <w:t xml:space="preserve"> год</w:t>
      </w:r>
      <w:r w:rsidR="00BE2DE7" w:rsidRPr="00A51945">
        <w:t>ом</w:t>
      </w:r>
      <w:r w:rsidRPr="00A51945">
        <w:t xml:space="preserve"> наблюдается </w:t>
      </w:r>
      <w:r w:rsidRPr="00A51945">
        <w:rPr>
          <w:i/>
          <w:u w:val="single"/>
        </w:rPr>
        <w:t>снижение</w:t>
      </w:r>
      <w:r w:rsidR="00CA7756" w:rsidRPr="00CA7756">
        <w:rPr>
          <w:b/>
          <w:color w:val="000000" w:themeColor="text1"/>
        </w:rPr>
        <w:t xml:space="preserve"> инвестиционной</w:t>
      </w:r>
      <w:r w:rsidR="00CA7756" w:rsidRPr="00CA7756">
        <w:rPr>
          <w:color w:val="000000" w:themeColor="text1"/>
        </w:rPr>
        <w:t xml:space="preserve"> активности:</w:t>
      </w:r>
    </w:p>
    <w:p w:rsidR="00CA7756" w:rsidRPr="00CA7756" w:rsidRDefault="00CA7756" w:rsidP="00E31E8E">
      <w:pPr>
        <w:numPr>
          <w:ilvl w:val="0"/>
          <w:numId w:val="15"/>
        </w:numPr>
        <w:tabs>
          <w:tab w:val="clear" w:pos="2023"/>
          <w:tab w:val="left" w:pos="1134"/>
          <w:tab w:val="num" w:pos="1418"/>
        </w:tabs>
        <w:spacing w:before="60"/>
        <w:ind w:left="0" w:firstLine="709"/>
        <w:jc w:val="both"/>
      </w:pPr>
      <w:r w:rsidRPr="00CA7756">
        <w:rPr>
          <w:b/>
          <w:color w:val="000000" w:themeColor="text1"/>
          <w:szCs w:val="20"/>
        </w:rPr>
        <w:t>инвестиции в основной капитал</w:t>
      </w:r>
      <w:r w:rsidRPr="00CA7756">
        <w:rPr>
          <w:color w:val="000000" w:themeColor="text1"/>
          <w:szCs w:val="20"/>
        </w:rPr>
        <w:t>, в январе – июне 2017 года составили  119,6 млн. руб. или 42,2% к соответствующему периоду прошлого года.</w:t>
      </w:r>
    </w:p>
    <w:p w:rsidR="00BE2DE7" w:rsidRPr="00ED2ACD" w:rsidRDefault="00BE2DE7" w:rsidP="00E31E8E">
      <w:pPr>
        <w:numPr>
          <w:ilvl w:val="0"/>
          <w:numId w:val="15"/>
        </w:numPr>
        <w:tabs>
          <w:tab w:val="clear" w:pos="2023"/>
          <w:tab w:val="left" w:pos="1134"/>
          <w:tab w:val="num" w:pos="1418"/>
        </w:tabs>
        <w:spacing w:before="60"/>
        <w:ind w:left="0" w:firstLine="709"/>
        <w:jc w:val="both"/>
      </w:pPr>
      <w:r w:rsidRPr="00CA7756">
        <w:rPr>
          <w:b/>
        </w:rPr>
        <w:t xml:space="preserve">оборот розничной торговли </w:t>
      </w:r>
      <w:r>
        <w:t xml:space="preserve">в январе – июне </w:t>
      </w:r>
      <w:r w:rsidR="007152AF">
        <w:t>2017</w:t>
      </w:r>
      <w:r>
        <w:t xml:space="preserve"> года – </w:t>
      </w:r>
      <w:r w:rsidR="007152AF" w:rsidRPr="00CA7756">
        <w:rPr>
          <w:color w:val="000000" w:themeColor="text1"/>
        </w:rPr>
        <w:t>1564</w:t>
      </w:r>
      <w:r w:rsidR="003D0C27" w:rsidRPr="00CA7756">
        <w:rPr>
          <w:color w:val="000000" w:themeColor="text1"/>
        </w:rPr>
        <w:t>,</w:t>
      </w:r>
      <w:r w:rsidR="007152AF" w:rsidRPr="00CA7756">
        <w:rPr>
          <w:color w:val="000000" w:themeColor="text1"/>
        </w:rPr>
        <w:t>6</w:t>
      </w:r>
      <w:r w:rsidR="003D0C27" w:rsidRPr="00CA7756">
        <w:rPr>
          <w:color w:val="FF0000"/>
        </w:rPr>
        <w:t xml:space="preserve"> </w:t>
      </w:r>
      <w:r w:rsidR="00127CC4">
        <w:t>млн.</w:t>
      </w:r>
      <w:r w:rsidR="002F1E24">
        <w:t xml:space="preserve"> </w:t>
      </w:r>
      <w:r w:rsidR="00127CC4">
        <w:t>руб., или 99,3</w:t>
      </w:r>
      <w:r>
        <w:t>% к аналогичному периоду прошлого года;</w:t>
      </w:r>
    </w:p>
    <w:p w:rsidR="00CB0512" w:rsidRPr="00ED2ACD" w:rsidRDefault="00CB0512" w:rsidP="00CB0512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ED2ACD">
        <w:rPr>
          <w:b/>
        </w:rPr>
        <w:t>оборот общественного питания</w:t>
      </w:r>
      <w:r w:rsidRPr="00ED2ACD">
        <w:t xml:space="preserve">  за январь-</w:t>
      </w:r>
      <w:r w:rsidR="00BE2DE7">
        <w:t>июнь</w:t>
      </w:r>
      <w:r w:rsidRPr="00ED2ACD">
        <w:t xml:space="preserve"> 201</w:t>
      </w:r>
      <w:r w:rsidR="002F1E24">
        <w:t>7</w:t>
      </w:r>
      <w:r w:rsidRPr="00ED2ACD">
        <w:t xml:space="preserve"> года состави</w:t>
      </w:r>
      <w:r w:rsidR="00BE2DE7">
        <w:t>л</w:t>
      </w:r>
      <w:r w:rsidRPr="00ED2ACD">
        <w:t xml:space="preserve">  </w:t>
      </w:r>
      <w:r w:rsidR="002F1E24">
        <w:t>51,3</w:t>
      </w:r>
      <w:r w:rsidRPr="00ED2ACD">
        <w:t xml:space="preserve"> млн.</w:t>
      </w:r>
      <w:r w:rsidR="00052851">
        <w:t xml:space="preserve"> </w:t>
      </w:r>
      <w:r w:rsidRPr="00ED2ACD">
        <w:t xml:space="preserve">руб. или </w:t>
      </w:r>
      <w:r w:rsidR="002F1E24">
        <w:t>91,3</w:t>
      </w:r>
      <w:r w:rsidRPr="00ED2ACD">
        <w:t>% к соответст</w:t>
      </w:r>
      <w:r w:rsidR="00931FC7">
        <w:t>вующему периоду 201</w:t>
      </w:r>
      <w:r w:rsidR="002F1E24">
        <w:t>6</w:t>
      </w:r>
      <w:r w:rsidR="00931FC7">
        <w:t xml:space="preserve"> года;</w:t>
      </w:r>
    </w:p>
    <w:p w:rsidR="003F09AE" w:rsidRDefault="003F09AE" w:rsidP="003F09AE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3F09AE">
        <w:rPr>
          <w:b/>
        </w:rPr>
        <w:t xml:space="preserve">численность трудоустроенных граждан </w:t>
      </w:r>
      <w:r w:rsidRPr="003F09AE">
        <w:t xml:space="preserve">составила </w:t>
      </w:r>
      <w:r w:rsidR="00047DA7">
        <w:t xml:space="preserve">532 </w:t>
      </w:r>
      <w:r w:rsidRPr="003F09AE">
        <w:t>чел., что</w:t>
      </w:r>
      <w:r w:rsidRPr="003F09AE">
        <w:rPr>
          <w:b/>
        </w:rPr>
        <w:t xml:space="preserve"> </w:t>
      </w:r>
      <w:r w:rsidRPr="003F09AE">
        <w:t xml:space="preserve">на </w:t>
      </w:r>
      <w:r w:rsidR="006F104B">
        <w:t>20,5</w:t>
      </w:r>
      <w:r w:rsidR="00DD2E1F">
        <w:t xml:space="preserve">% </w:t>
      </w:r>
      <w:r w:rsidRPr="003F09AE">
        <w:t xml:space="preserve"> </w:t>
      </w:r>
      <w:r w:rsidR="00DD2E1F">
        <w:t>меньше</w:t>
      </w:r>
      <w:r w:rsidRPr="003F09AE">
        <w:t xml:space="preserve"> соответ</w:t>
      </w:r>
      <w:r w:rsidR="00C64525">
        <w:t>ствующего периода прошлого года;</w:t>
      </w:r>
    </w:p>
    <w:p w:rsidR="00C64525" w:rsidRDefault="00C64525" w:rsidP="003F09AE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ED2ACD">
        <w:rPr>
          <w:b/>
        </w:rPr>
        <w:t>объем промышленной продукции</w:t>
      </w:r>
      <w:r w:rsidRPr="00ED2ACD">
        <w:t xml:space="preserve"> за отчетный период составил  </w:t>
      </w:r>
      <w:r w:rsidRPr="00C95C2E">
        <w:rPr>
          <w:color w:val="000000" w:themeColor="text1"/>
        </w:rPr>
        <w:t>1048,8</w:t>
      </w:r>
      <w:r>
        <w:rPr>
          <w:color w:val="FF0000"/>
        </w:rPr>
        <w:t xml:space="preserve"> </w:t>
      </w:r>
      <w:r w:rsidRPr="00ED2ACD">
        <w:t xml:space="preserve">млн. рублей в целом и  </w:t>
      </w:r>
      <w:r>
        <w:t>уменьшился</w:t>
      </w:r>
      <w:r w:rsidRPr="00ED2ACD">
        <w:t xml:space="preserve"> на </w:t>
      </w:r>
      <w:r>
        <w:t>5,9</w:t>
      </w:r>
      <w:r w:rsidRPr="00ED2ACD">
        <w:t>% по сравнению с соответствующим периодом 201</w:t>
      </w:r>
      <w:r>
        <w:t>6</w:t>
      </w:r>
      <w:r w:rsidR="006B2198">
        <w:t xml:space="preserve"> года;</w:t>
      </w:r>
    </w:p>
    <w:p w:rsidR="006B2198" w:rsidRPr="006B2198" w:rsidRDefault="006B2198" w:rsidP="006B2198">
      <w:pPr>
        <w:pStyle w:val="aff1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2198">
        <w:rPr>
          <w:sz w:val="28"/>
          <w:szCs w:val="28"/>
        </w:rPr>
        <w:t xml:space="preserve">за отчетный период текущего года  </w:t>
      </w:r>
      <w:r w:rsidRPr="006B2198">
        <w:rPr>
          <w:b/>
          <w:sz w:val="28"/>
          <w:szCs w:val="28"/>
        </w:rPr>
        <w:t>введено жилой площади</w:t>
      </w:r>
      <w:r w:rsidRPr="006B2198">
        <w:rPr>
          <w:sz w:val="28"/>
          <w:szCs w:val="28"/>
        </w:rPr>
        <w:t xml:space="preserve"> 14,4 тыс.</w:t>
      </w:r>
      <w:r w:rsidR="006071C1">
        <w:rPr>
          <w:sz w:val="28"/>
          <w:szCs w:val="28"/>
        </w:rPr>
        <w:t xml:space="preserve"> </w:t>
      </w:r>
      <w:r w:rsidRPr="006B2198">
        <w:rPr>
          <w:sz w:val="28"/>
          <w:szCs w:val="28"/>
        </w:rPr>
        <w:t>м</w:t>
      </w:r>
      <w:proofErr w:type="gramStart"/>
      <w:r w:rsidRPr="006B2198">
        <w:rPr>
          <w:sz w:val="28"/>
          <w:szCs w:val="28"/>
          <w:vertAlign w:val="superscript"/>
        </w:rPr>
        <w:t>2</w:t>
      </w:r>
      <w:proofErr w:type="gramEnd"/>
      <w:r w:rsidRPr="006B2198">
        <w:rPr>
          <w:sz w:val="28"/>
          <w:szCs w:val="28"/>
        </w:rPr>
        <w:t xml:space="preserve">, что на 49,2% меньше аналогичного периода прошлого года. </w:t>
      </w:r>
    </w:p>
    <w:p w:rsidR="008852C9" w:rsidRPr="008852C9" w:rsidRDefault="008C149F" w:rsidP="008852C9">
      <w:pPr>
        <w:pStyle w:val="aff1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26DA5">
        <w:rPr>
          <w:b/>
          <w:sz w:val="28"/>
          <w:szCs w:val="28"/>
        </w:rPr>
        <w:t>производство</w:t>
      </w:r>
      <w:r w:rsidR="008852C9" w:rsidRPr="00A26DA5">
        <w:rPr>
          <w:b/>
          <w:sz w:val="28"/>
          <w:szCs w:val="28"/>
        </w:rPr>
        <w:t xml:space="preserve"> молока</w:t>
      </w:r>
      <w:r w:rsidR="008852C9" w:rsidRPr="008852C9">
        <w:rPr>
          <w:sz w:val="28"/>
          <w:szCs w:val="28"/>
        </w:rPr>
        <w:t xml:space="preserve"> </w:t>
      </w:r>
      <w:r w:rsidR="00C14DBB">
        <w:rPr>
          <w:sz w:val="28"/>
          <w:szCs w:val="28"/>
        </w:rPr>
        <w:t xml:space="preserve">составило </w:t>
      </w:r>
      <w:r w:rsidR="008852C9" w:rsidRPr="008852C9">
        <w:rPr>
          <w:color w:val="000000" w:themeColor="text1"/>
          <w:sz w:val="28"/>
          <w:szCs w:val="28"/>
        </w:rPr>
        <w:t>1503,1</w:t>
      </w:r>
      <w:r w:rsidR="008852C9" w:rsidRPr="008852C9">
        <w:rPr>
          <w:sz w:val="28"/>
          <w:szCs w:val="28"/>
        </w:rPr>
        <w:t xml:space="preserve"> тонн, уменьшение на 3,9% по сравнению с соответствующим периодом 2016 года.</w:t>
      </w:r>
    </w:p>
    <w:p w:rsidR="008852C9" w:rsidRPr="008852C9" w:rsidRDefault="008852C9" w:rsidP="008852C9">
      <w:pPr>
        <w:pStyle w:val="aff1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B2198" w:rsidRPr="003F09AE" w:rsidRDefault="006B2198" w:rsidP="008852C9">
      <w:pPr>
        <w:tabs>
          <w:tab w:val="left" w:pos="-4820"/>
          <w:tab w:val="left" w:pos="1134"/>
        </w:tabs>
        <w:ind w:left="709"/>
        <w:jc w:val="both"/>
      </w:pPr>
    </w:p>
    <w:p w:rsidR="00CB0512" w:rsidRPr="00ED2ACD" w:rsidRDefault="00CB0512" w:rsidP="00CF42C5">
      <w:pPr>
        <w:jc w:val="center"/>
        <w:rPr>
          <w:b/>
        </w:rPr>
      </w:pPr>
      <w:r w:rsidRPr="00ED2ACD">
        <w:rPr>
          <w:b/>
          <w:lang w:val="en-US"/>
        </w:rPr>
        <w:t>II</w:t>
      </w:r>
      <w:r w:rsidRPr="00ED2ACD">
        <w:rPr>
          <w:b/>
        </w:rPr>
        <w:t xml:space="preserve">. Ожидаемые итоги развития </w:t>
      </w:r>
      <w:proofErr w:type="spellStart"/>
      <w:r w:rsidR="00AB0D55">
        <w:rPr>
          <w:b/>
        </w:rPr>
        <w:t>Кетовского</w:t>
      </w:r>
      <w:proofErr w:type="spellEnd"/>
      <w:r w:rsidR="00AB0D55">
        <w:rPr>
          <w:b/>
        </w:rPr>
        <w:t xml:space="preserve"> района</w:t>
      </w:r>
      <w:r w:rsidRPr="00ED2ACD">
        <w:rPr>
          <w:b/>
        </w:rPr>
        <w:t xml:space="preserve"> до конца 201</w:t>
      </w:r>
      <w:r w:rsidR="006977F7">
        <w:rPr>
          <w:b/>
        </w:rPr>
        <w:t>7</w:t>
      </w:r>
      <w:r w:rsidRPr="00ED2ACD">
        <w:rPr>
          <w:b/>
        </w:rPr>
        <w:t xml:space="preserve"> года, прогноз социально-экономического развития муниципального образования </w:t>
      </w:r>
      <w:proofErr w:type="spellStart"/>
      <w:r w:rsidR="006977F7">
        <w:rPr>
          <w:b/>
        </w:rPr>
        <w:t>Кетовский</w:t>
      </w:r>
      <w:proofErr w:type="spellEnd"/>
      <w:r w:rsidR="006977F7">
        <w:rPr>
          <w:b/>
        </w:rPr>
        <w:t xml:space="preserve"> район 2018</w:t>
      </w:r>
      <w:r w:rsidRPr="00ED2ACD">
        <w:rPr>
          <w:b/>
        </w:rPr>
        <w:t xml:space="preserve"> год и плановый период</w:t>
      </w:r>
    </w:p>
    <w:p w:rsidR="00CB0512" w:rsidRPr="00ED2ACD" w:rsidRDefault="00CB0512" w:rsidP="00CB0512">
      <w:pPr>
        <w:jc w:val="center"/>
        <w:rPr>
          <w:b/>
        </w:rPr>
      </w:pPr>
      <w:r w:rsidRPr="00ED2ACD">
        <w:rPr>
          <w:b/>
        </w:rPr>
        <w:t>201</w:t>
      </w:r>
      <w:r w:rsidR="006977F7">
        <w:rPr>
          <w:b/>
        </w:rPr>
        <w:t>9-2020</w:t>
      </w:r>
      <w:r w:rsidR="00315EB5">
        <w:rPr>
          <w:b/>
        </w:rPr>
        <w:t xml:space="preserve"> </w:t>
      </w:r>
      <w:r w:rsidRPr="00ED2ACD">
        <w:rPr>
          <w:b/>
        </w:rPr>
        <w:t>годы</w:t>
      </w:r>
    </w:p>
    <w:p w:rsidR="00CB0512" w:rsidRPr="00CB0512" w:rsidRDefault="00CB0512" w:rsidP="00CB0512">
      <w:pPr>
        <w:rPr>
          <w:b/>
        </w:rPr>
      </w:pPr>
    </w:p>
    <w:p w:rsidR="00CB0512" w:rsidRPr="00CB0512" w:rsidRDefault="00CB0512" w:rsidP="00CB0512">
      <w:pPr>
        <w:jc w:val="both"/>
        <w:rPr>
          <w:b/>
          <w:bCs/>
          <w:szCs w:val="20"/>
        </w:rPr>
      </w:pPr>
      <w:r w:rsidRPr="00CB0512">
        <w:rPr>
          <w:b/>
          <w:bCs/>
          <w:szCs w:val="20"/>
        </w:rPr>
        <w:t>Демографическая ситуация</w:t>
      </w:r>
    </w:p>
    <w:p w:rsidR="00CB0512" w:rsidRPr="00CB0512" w:rsidRDefault="00CB0512" w:rsidP="00CB0512">
      <w:pPr>
        <w:ind w:firstLine="709"/>
        <w:jc w:val="both"/>
        <w:rPr>
          <w:b/>
          <w:bCs/>
          <w:sz w:val="24"/>
          <w:szCs w:val="24"/>
        </w:rPr>
      </w:pPr>
    </w:p>
    <w:p w:rsidR="00CB0512" w:rsidRPr="00CB0512" w:rsidRDefault="00CB0512" w:rsidP="00CB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CB0512">
        <w:rPr>
          <w:rFonts w:cs="Courier New"/>
          <w:szCs w:val="20"/>
        </w:rPr>
        <w:t xml:space="preserve">Численность постоянного населения муниципального образования </w:t>
      </w:r>
      <w:proofErr w:type="spellStart"/>
      <w:r w:rsidR="007A6031">
        <w:rPr>
          <w:rFonts w:cs="Courier New"/>
          <w:szCs w:val="20"/>
        </w:rPr>
        <w:t>Кет</w:t>
      </w:r>
      <w:r w:rsidR="00895C13">
        <w:rPr>
          <w:rFonts w:cs="Courier New"/>
          <w:szCs w:val="20"/>
        </w:rPr>
        <w:t>овский</w:t>
      </w:r>
      <w:proofErr w:type="spellEnd"/>
      <w:r w:rsidR="00895C13">
        <w:rPr>
          <w:rFonts w:cs="Courier New"/>
          <w:szCs w:val="20"/>
        </w:rPr>
        <w:t xml:space="preserve"> район на начало 2017</w:t>
      </w:r>
      <w:r w:rsidRPr="00CB0512">
        <w:rPr>
          <w:rFonts w:cs="Courier New"/>
          <w:szCs w:val="20"/>
        </w:rPr>
        <w:t xml:space="preserve"> года составила </w:t>
      </w:r>
      <w:r w:rsidR="00895C13">
        <w:rPr>
          <w:rFonts w:cs="Courier New"/>
          <w:szCs w:val="20"/>
        </w:rPr>
        <w:t>61770</w:t>
      </w:r>
      <w:r w:rsidRPr="00CB0512">
        <w:rPr>
          <w:rFonts w:cs="Courier New"/>
          <w:szCs w:val="20"/>
        </w:rPr>
        <w:t xml:space="preserve"> чел. </w:t>
      </w:r>
    </w:p>
    <w:p w:rsidR="00CB0512" w:rsidRPr="00CB0512" w:rsidRDefault="00CB0512" w:rsidP="00CB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CB0512">
        <w:rPr>
          <w:rFonts w:cs="Courier New"/>
          <w:i/>
          <w:szCs w:val="20"/>
        </w:rPr>
        <w:t>Среднегодовая численность постоянного населения</w:t>
      </w:r>
      <w:r w:rsidRPr="00CB0512">
        <w:rPr>
          <w:rFonts w:cs="Courier New"/>
          <w:szCs w:val="20"/>
        </w:rPr>
        <w:t xml:space="preserve"> за 201</w:t>
      </w:r>
      <w:r w:rsidR="00895C13">
        <w:rPr>
          <w:rFonts w:cs="Courier New"/>
          <w:szCs w:val="20"/>
        </w:rPr>
        <w:t>6</w:t>
      </w:r>
      <w:r w:rsidRPr="00CB0512">
        <w:rPr>
          <w:rFonts w:cs="Courier New"/>
          <w:szCs w:val="20"/>
        </w:rPr>
        <w:t xml:space="preserve"> год составила </w:t>
      </w:r>
      <w:r w:rsidR="00895C13">
        <w:rPr>
          <w:rFonts w:cs="Courier New"/>
          <w:szCs w:val="20"/>
        </w:rPr>
        <w:t>61431</w:t>
      </w:r>
      <w:r w:rsidRPr="00CB0512">
        <w:rPr>
          <w:rFonts w:cs="Courier New"/>
          <w:szCs w:val="20"/>
        </w:rPr>
        <w:t xml:space="preserve"> чел. По оценке 201</w:t>
      </w:r>
      <w:r w:rsidR="00895C13">
        <w:rPr>
          <w:rFonts w:cs="Courier New"/>
          <w:szCs w:val="20"/>
        </w:rPr>
        <w:t>7</w:t>
      </w:r>
      <w:r w:rsidRPr="00CB0512">
        <w:rPr>
          <w:rFonts w:cs="Courier New"/>
          <w:szCs w:val="20"/>
        </w:rPr>
        <w:t xml:space="preserve"> года данный показатель увеличится на </w:t>
      </w:r>
      <w:r w:rsidR="006B57AE">
        <w:rPr>
          <w:rFonts w:cs="Courier New"/>
          <w:szCs w:val="20"/>
        </w:rPr>
        <w:t>169</w:t>
      </w:r>
      <w:r w:rsidRPr="00CB0512">
        <w:rPr>
          <w:rFonts w:cs="Courier New"/>
          <w:szCs w:val="20"/>
        </w:rPr>
        <w:t xml:space="preserve"> чел. и составит </w:t>
      </w:r>
      <w:r w:rsidR="006B57AE">
        <w:rPr>
          <w:rFonts w:cs="Courier New"/>
          <w:szCs w:val="20"/>
        </w:rPr>
        <w:t>616</w:t>
      </w:r>
      <w:r w:rsidR="00BD4DF1">
        <w:rPr>
          <w:rFonts w:cs="Courier New"/>
          <w:szCs w:val="20"/>
        </w:rPr>
        <w:t>00</w:t>
      </w:r>
      <w:r w:rsidRPr="00CB0512">
        <w:rPr>
          <w:rFonts w:cs="Courier New"/>
          <w:szCs w:val="20"/>
        </w:rPr>
        <w:t xml:space="preserve"> чел. В среднесрочной перспективе в муниципальном образовании сохранятся положительные тенденции развития демографических процессов. </w:t>
      </w:r>
    </w:p>
    <w:p w:rsidR="00CB0512" w:rsidRPr="00CB0512" w:rsidRDefault="00CB0512" w:rsidP="00CB0512">
      <w:pPr>
        <w:ind w:firstLine="709"/>
        <w:jc w:val="right"/>
        <w:rPr>
          <w:sz w:val="24"/>
          <w:szCs w:val="24"/>
        </w:rPr>
      </w:pPr>
      <w:r w:rsidRPr="00CB0512">
        <w:rPr>
          <w:sz w:val="24"/>
          <w:szCs w:val="24"/>
        </w:rPr>
        <w:t>График 1</w:t>
      </w:r>
    </w:p>
    <w:p w:rsidR="00F627AE" w:rsidRDefault="00F627AE" w:rsidP="00CF4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</w:p>
    <w:p w:rsidR="00F627AE" w:rsidRDefault="00F627AE" w:rsidP="00CF4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 w:rsidRPr="00F627AE">
        <w:rPr>
          <w:noProof/>
        </w:rPr>
        <w:lastRenderedPageBreak/>
        <w:drawing>
          <wp:inline distT="0" distB="0" distL="0" distR="0">
            <wp:extent cx="5854211" cy="4431323"/>
            <wp:effectExtent l="1905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068D" w:rsidRDefault="00CB0512" w:rsidP="00CF4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</w:rPr>
      </w:pPr>
      <w:r w:rsidRPr="00CB0512">
        <w:rPr>
          <w:rFonts w:cs="Courier New"/>
          <w:szCs w:val="20"/>
        </w:rPr>
        <w:t xml:space="preserve"> </w:t>
      </w:r>
      <w:r w:rsidRPr="00CB0512">
        <w:rPr>
          <w:rFonts w:cs="Courier New"/>
          <w:szCs w:val="20"/>
        </w:rPr>
        <w:tab/>
      </w:r>
    </w:p>
    <w:p w:rsidR="00CB0512" w:rsidRPr="004D35AF" w:rsidRDefault="00DB67E6" w:rsidP="00CF4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ab/>
      </w:r>
      <w:r w:rsidR="00CB0512" w:rsidRPr="004D35AF">
        <w:rPr>
          <w:rFonts w:cs="Courier New"/>
          <w:szCs w:val="20"/>
        </w:rPr>
        <w:t>По прогнозу на 201</w:t>
      </w:r>
      <w:r w:rsidR="00BE56CD">
        <w:rPr>
          <w:rFonts w:cs="Courier New"/>
          <w:szCs w:val="20"/>
        </w:rPr>
        <w:t>8</w:t>
      </w:r>
      <w:r w:rsidR="00DD0645" w:rsidRPr="004D35AF">
        <w:rPr>
          <w:rFonts w:cs="Courier New"/>
          <w:szCs w:val="20"/>
        </w:rPr>
        <w:t xml:space="preserve"> </w:t>
      </w:r>
      <w:r w:rsidR="00CB0512" w:rsidRPr="004D35AF">
        <w:rPr>
          <w:rFonts w:cs="Courier New"/>
          <w:szCs w:val="20"/>
        </w:rPr>
        <w:t xml:space="preserve">год среднегодовая численность постоянного населения </w:t>
      </w:r>
      <w:r w:rsidR="00DD0645" w:rsidRPr="004D35AF">
        <w:rPr>
          <w:rFonts w:cs="Courier New"/>
          <w:szCs w:val="20"/>
        </w:rPr>
        <w:t>района</w:t>
      </w:r>
      <w:r w:rsidR="00CB0512" w:rsidRPr="004D35AF">
        <w:rPr>
          <w:rFonts w:cs="Courier New"/>
          <w:szCs w:val="20"/>
        </w:rPr>
        <w:t xml:space="preserve"> составит </w:t>
      </w:r>
      <w:r w:rsidR="00BE56CD">
        <w:rPr>
          <w:rFonts w:cs="Courier New"/>
          <w:szCs w:val="20"/>
        </w:rPr>
        <w:t>618</w:t>
      </w:r>
      <w:r w:rsidR="00DD0645" w:rsidRPr="004D35AF">
        <w:rPr>
          <w:rFonts w:cs="Courier New"/>
          <w:szCs w:val="20"/>
        </w:rPr>
        <w:t>00</w:t>
      </w:r>
      <w:r w:rsidR="00CB0512" w:rsidRPr="004D35AF">
        <w:rPr>
          <w:rFonts w:cs="Courier New"/>
          <w:szCs w:val="20"/>
        </w:rPr>
        <w:t xml:space="preserve"> чел. Предположительно, в 201</w:t>
      </w:r>
      <w:r w:rsidR="00BE56CD">
        <w:rPr>
          <w:rFonts w:cs="Courier New"/>
          <w:szCs w:val="20"/>
        </w:rPr>
        <w:t>9-2020</w:t>
      </w:r>
      <w:r w:rsidR="00CB0512" w:rsidRPr="004D35AF">
        <w:rPr>
          <w:rFonts w:cs="Courier New"/>
          <w:szCs w:val="20"/>
        </w:rPr>
        <w:t xml:space="preserve">гг. данный показатель составит </w:t>
      </w:r>
      <w:r w:rsidR="00BE56CD">
        <w:rPr>
          <w:rFonts w:cs="Courier New"/>
          <w:szCs w:val="20"/>
        </w:rPr>
        <w:t>62000</w:t>
      </w:r>
      <w:r w:rsidR="00CB0512" w:rsidRPr="004D35AF">
        <w:rPr>
          <w:rFonts w:cs="Courier New"/>
          <w:szCs w:val="20"/>
        </w:rPr>
        <w:t xml:space="preserve"> – </w:t>
      </w:r>
      <w:r w:rsidR="00BE56CD">
        <w:rPr>
          <w:rFonts w:cs="Courier New"/>
          <w:szCs w:val="20"/>
        </w:rPr>
        <w:t>62200</w:t>
      </w:r>
      <w:r w:rsidR="00CB0512" w:rsidRPr="004D35AF">
        <w:rPr>
          <w:rFonts w:cs="Courier New"/>
          <w:szCs w:val="20"/>
        </w:rPr>
        <w:t xml:space="preserve"> чел. соответственно.</w:t>
      </w:r>
    </w:p>
    <w:p w:rsidR="00CB0512" w:rsidRPr="004D35AF" w:rsidRDefault="00CB0512" w:rsidP="00CB0512">
      <w:pPr>
        <w:ind w:firstLine="709"/>
        <w:jc w:val="both"/>
      </w:pPr>
      <w:r w:rsidRPr="004D35AF">
        <w:t>Так, на 01.0</w:t>
      </w:r>
      <w:r w:rsidR="0032108E">
        <w:t>8</w:t>
      </w:r>
      <w:r w:rsidRPr="004D35AF">
        <w:t>.201</w:t>
      </w:r>
      <w:r w:rsidR="00BE7F24" w:rsidRPr="00BE7F24">
        <w:t>7</w:t>
      </w:r>
      <w:r w:rsidRPr="004D35AF">
        <w:t xml:space="preserve"> года в </w:t>
      </w:r>
      <w:r w:rsidR="009D2C35" w:rsidRPr="004D35AF">
        <w:t xml:space="preserve">районе </w:t>
      </w:r>
      <w:r w:rsidRPr="004D35AF">
        <w:t xml:space="preserve"> зарегистрировано </w:t>
      </w:r>
      <w:r w:rsidR="0032108E">
        <w:t>329</w:t>
      </w:r>
      <w:r w:rsidRPr="004D35AF">
        <w:t xml:space="preserve"> новорожденных, что на </w:t>
      </w:r>
      <w:r w:rsidR="0032108E">
        <w:t>2 младенца</w:t>
      </w:r>
      <w:r w:rsidR="00BE7F24">
        <w:t xml:space="preserve"> больше</w:t>
      </w:r>
      <w:r w:rsidRPr="004D35AF">
        <w:t xml:space="preserve">, чем </w:t>
      </w:r>
      <w:r w:rsidR="00DF41E6" w:rsidRPr="004D35AF">
        <w:t>за аналогичный период</w:t>
      </w:r>
      <w:r w:rsidRPr="004D35AF">
        <w:t xml:space="preserve"> 201</w:t>
      </w:r>
      <w:r w:rsidR="00BE7F24">
        <w:t>6</w:t>
      </w:r>
      <w:r w:rsidR="00DF41E6" w:rsidRPr="004D35AF">
        <w:t xml:space="preserve"> года</w:t>
      </w:r>
      <w:r w:rsidRPr="004D35AF">
        <w:t xml:space="preserve">. </w:t>
      </w:r>
    </w:p>
    <w:p w:rsidR="00CB0512" w:rsidRPr="00CB0512" w:rsidRDefault="00CB0512" w:rsidP="00CB0512">
      <w:pPr>
        <w:suppressAutoHyphens/>
        <w:ind w:firstLine="539"/>
        <w:jc w:val="both"/>
        <w:rPr>
          <w:lang w:eastAsia="ar-SA"/>
        </w:rPr>
      </w:pPr>
      <w:r w:rsidRPr="004D35AF">
        <w:rPr>
          <w:lang w:eastAsia="ar-SA"/>
        </w:rPr>
        <w:t>В 201</w:t>
      </w:r>
      <w:r w:rsidR="003B324D">
        <w:rPr>
          <w:lang w:eastAsia="ar-SA"/>
        </w:rPr>
        <w:t>7</w:t>
      </w:r>
      <w:r w:rsidRPr="004D35AF">
        <w:rPr>
          <w:lang w:eastAsia="ar-SA"/>
        </w:rPr>
        <w:t xml:space="preserve"> году зарегистрировано </w:t>
      </w:r>
      <w:r w:rsidR="003C113E">
        <w:rPr>
          <w:lang w:eastAsia="ar-SA"/>
        </w:rPr>
        <w:t>412</w:t>
      </w:r>
      <w:r w:rsidR="003B324D">
        <w:rPr>
          <w:lang w:eastAsia="ar-SA"/>
        </w:rPr>
        <w:t xml:space="preserve"> </w:t>
      </w:r>
      <w:r w:rsidRPr="004D35AF">
        <w:rPr>
          <w:lang w:eastAsia="ar-SA"/>
        </w:rPr>
        <w:t xml:space="preserve">актов о смерти, что на </w:t>
      </w:r>
      <w:r w:rsidR="003C113E">
        <w:rPr>
          <w:lang w:eastAsia="ar-SA"/>
        </w:rPr>
        <w:t>15</w:t>
      </w:r>
      <w:r w:rsidRPr="004D35AF">
        <w:rPr>
          <w:lang w:eastAsia="ar-SA"/>
        </w:rPr>
        <w:t xml:space="preserve"> актов меньше, чем в </w:t>
      </w:r>
      <w:r w:rsidR="00415D63" w:rsidRPr="004D35AF">
        <w:rPr>
          <w:lang w:eastAsia="ar-SA"/>
        </w:rPr>
        <w:t xml:space="preserve">январе </w:t>
      </w:r>
      <w:r w:rsidR="003C113E">
        <w:rPr>
          <w:lang w:eastAsia="ar-SA"/>
        </w:rPr>
        <w:t>– июл</w:t>
      </w:r>
      <w:r w:rsidR="003B324D">
        <w:rPr>
          <w:lang w:eastAsia="ar-SA"/>
        </w:rPr>
        <w:t>е 2016</w:t>
      </w:r>
      <w:r w:rsidR="00415D63" w:rsidRPr="004D35AF">
        <w:rPr>
          <w:lang w:eastAsia="ar-SA"/>
        </w:rPr>
        <w:t xml:space="preserve"> года.</w:t>
      </w:r>
      <w:r w:rsidRPr="004D35AF">
        <w:rPr>
          <w:lang w:eastAsia="ar-SA"/>
        </w:rPr>
        <w:t xml:space="preserve"> Основными причинами смертности населения, как и в прошлых периодах, являются: онкологические</w:t>
      </w:r>
      <w:r w:rsidRPr="00CB0512">
        <w:rPr>
          <w:lang w:eastAsia="ar-SA"/>
        </w:rPr>
        <w:t xml:space="preserve"> заболевания, гипертоническая болезнь сердца и заболевания сердечнососудистой системы. </w:t>
      </w:r>
    </w:p>
    <w:p w:rsidR="00CB0512" w:rsidRPr="00EF0382" w:rsidRDefault="00CB0512" w:rsidP="00CB0512">
      <w:pPr>
        <w:suppressAutoHyphens/>
        <w:ind w:firstLine="539"/>
        <w:jc w:val="both"/>
        <w:rPr>
          <w:color w:val="FF0000"/>
          <w:lang w:eastAsia="ar-SA"/>
        </w:rPr>
      </w:pPr>
      <w:r w:rsidRPr="00CB0512">
        <w:rPr>
          <w:lang w:eastAsia="ar-SA"/>
        </w:rPr>
        <w:t xml:space="preserve">По </w:t>
      </w:r>
      <w:r w:rsidR="00F10422">
        <w:rPr>
          <w:lang w:eastAsia="ar-SA"/>
        </w:rPr>
        <w:t>прогнозу на</w:t>
      </w:r>
      <w:r w:rsidRPr="00CB0512">
        <w:rPr>
          <w:lang w:eastAsia="ar-SA"/>
        </w:rPr>
        <w:t xml:space="preserve"> 201</w:t>
      </w:r>
      <w:r w:rsidR="0054008C">
        <w:rPr>
          <w:lang w:eastAsia="ar-SA"/>
        </w:rPr>
        <w:t>8</w:t>
      </w:r>
      <w:r w:rsidR="00F10422">
        <w:rPr>
          <w:lang w:eastAsia="ar-SA"/>
        </w:rPr>
        <w:t xml:space="preserve"> год</w:t>
      </w:r>
      <w:r w:rsidRPr="00CB0512">
        <w:rPr>
          <w:lang w:eastAsia="ar-SA"/>
        </w:rPr>
        <w:t xml:space="preserve"> и 201</w:t>
      </w:r>
      <w:r w:rsidR="0054008C">
        <w:rPr>
          <w:lang w:eastAsia="ar-SA"/>
        </w:rPr>
        <w:t>9-2020</w:t>
      </w:r>
      <w:r w:rsidRPr="00CB0512">
        <w:rPr>
          <w:lang w:eastAsia="ar-SA"/>
        </w:rPr>
        <w:t xml:space="preserve"> гг. прогнозируется снижение смертности населения </w:t>
      </w:r>
      <w:r w:rsidR="0047463D">
        <w:rPr>
          <w:lang w:eastAsia="ar-SA"/>
        </w:rPr>
        <w:t>района</w:t>
      </w:r>
      <w:r w:rsidRPr="00CB0512">
        <w:rPr>
          <w:lang w:eastAsia="ar-SA"/>
        </w:rPr>
        <w:t xml:space="preserve">, что обусловлено развитием и совершенствованием систем здравоохранения и социальной защиты населения </w:t>
      </w:r>
      <w:r w:rsidR="0047463D">
        <w:rPr>
          <w:lang w:eastAsia="ar-SA"/>
        </w:rPr>
        <w:t>района</w:t>
      </w:r>
      <w:r w:rsidRPr="00CB0512">
        <w:rPr>
          <w:lang w:eastAsia="ar-SA"/>
        </w:rPr>
        <w:t xml:space="preserve">. </w:t>
      </w:r>
    </w:p>
    <w:p w:rsidR="00CB0512" w:rsidRPr="00E97B7E" w:rsidRDefault="00CB0512" w:rsidP="00CB0512">
      <w:pPr>
        <w:suppressAutoHyphens/>
        <w:ind w:firstLine="539"/>
        <w:jc w:val="both"/>
        <w:rPr>
          <w:lang w:eastAsia="ar-SA"/>
        </w:rPr>
      </w:pPr>
      <w:r w:rsidRPr="00E97B7E">
        <w:rPr>
          <w:lang w:eastAsia="ar-SA"/>
        </w:rPr>
        <w:t xml:space="preserve">Общий коэффициент смертности в </w:t>
      </w:r>
      <w:r w:rsidR="00E97B7E" w:rsidRPr="00E97B7E">
        <w:rPr>
          <w:lang w:eastAsia="ar-SA"/>
        </w:rPr>
        <w:t>январе-</w:t>
      </w:r>
      <w:r w:rsidR="0058292D">
        <w:rPr>
          <w:lang w:eastAsia="ar-SA"/>
        </w:rPr>
        <w:t>июл</w:t>
      </w:r>
      <w:r w:rsidR="0054008C">
        <w:rPr>
          <w:lang w:eastAsia="ar-SA"/>
        </w:rPr>
        <w:t>е 2017</w:t>
      </w:r>
      <w:r w:rsidR="00E97B7E" w:rsidRPr="00E97B7E">
        <w:rPr>
          <w:lang w:eastAsia="ar-SA"/>
        </w:rPr>
        <w:t xml:space="preserve"> года </w:t>
      </w:r>
      <w:r w:rsidRPr="00E97B7E">
        <w:rPr>
          <w:lang w:eastAsia="ar-SA"/>
        </w:rPr>
        <w:t xml:space="preserve"> составил </w:t>
      </w:r>
      <w:r w:rsidR="0058292D">
        <w:rPr>
          <w:lang w:eastAsia="ar-SA"/>
        </w:rPr>
        <w:t>11,5</w:t>
      </w:r>
      <w:r w:rsidRPr="00E97B7E">
        <w:rPr>
          <w:lang w:eastAsia="ar-SA"/>
        </w:rPr>
        <w:t xml:space="preserve"> на 1000 жителей </w:t>
      </w:r>
      <w:r w:rsidR="000E706E">
        <w:rPr>
          <w:lang w:eastAsia="ar-SA"/>
        </w:rPr>
        <w:t>района</w:t>
      </w:r>
      <w:r w:rsidRPr="00E97B7E">
        <w:rPr>
          <w:lang w:eastAsia="ar-SA"/>
        </w:rPr>
        <w:t xml:space="preserve"> и этот показатель </w:t>
      </w:r>
      <w:r w:rsidR="00E97B7E" w:rsidRPr="00E97B7E">
        <w:rPr>
          <w:lang w:eastAsia="ar-SA"/>
        </w:rPr>
        <w:t xml:space="preserve">на </w:t>
      </w:r>
      <w:r w:rsidR="00A27915">
        <w:rPr>
          <w:lang w:eastAsia="ar-SA"/>
        </w:rPr>
        <w:t>25</w:t>
      </w:r>
      <w:r w:rsidR="00E97B7E" w:rsidRPr="00E97B7E">
        <w:rPr>
          <w:lang w:eastAsia="ar-SA"/>
        </w:rPr>
        <w:t>% выше</w:t>
      </w:r>
      <w:r w:rsidRPr="00E97B7E">
        <w:rPr>
          <w:lang w:eastAsia="ar-SA"/>
        </w:rPr>
        <w:t xml:space="preserve"> коэффициента рождаемости</w:t>
      </w:r>
      <w:r w:rsidR="00E97B7E" w:rsidRPr="00E97B7E">
        <w:rPr>
          <w:lang w:eastAsia="ar-SA"/>
        </w:rPr>
        <w:t xml:space="preserve"> (</w:t>
      </w:r>
      <w:r w:rsidR="00A27915">
        <w:rPr>
          <w:lang w:eastAsia="ar-SA"/>
        </w:rPr>
        <w:t>9,2</w:t>
      </w:r>
      <w:r w:rsidR="00E97B7E" w:rsidRPr="00E97B7E">
        <w:rPr>
          <w:lang w:eastAsia="ar-SA"/>
        </w:rPr>
        <w:t>%)</w:t>
      </w:r>
      <w:r w:rsidRPr="00E97B7E">
        <w:rPr>
          <w:lang w:eastAsia="ar-SA"/>
        </w:rPr>
        <w:t xml:space="preserve">. </w:t>
      </w:r>
    </w:p>
    <w:p w:rsidR="00CB0512" w:rsidRPr="00E97B7E" w:rsidRDefault="00CB0512" w:rsidP="00CB0512">
      <w:pPr>
        <w:ind w:firstLine="539"/>
        <w:jc w:val="both"/>
      </w:pPr>
      <w:r w:rsidRPr="00E97B7E">
        <w:t xml:space="preserve">В современных условиях миграция играет важную роль в формировании численности и состава жителей муниципального образования. </w:t>
      </w:r>
    </w:p>
    <w:p w:rsidR="00CB0512" w:rsidRPr="00BF0465" w:rsidRDefault="00CB0512" w:rsidP="00CB0512">
      <w:pPr>
        <w:ind w:firstLine="539"/>
        <w:jc w:val="both"/>
      </w:pPr>
      <w:r w:rsidRPr="00BF0465">
        <w:t xml:space="preserve">На территорию </w:t>
      </w:r>
      <w:r w:rsidR="001D5E53" w:rsidRPr="00BF0465">
        <w:t>района в январе-</w:t>
      </w:r>
      <w:r w:rsidR="00BB7B85">
        <w:t>июл</w:t>
      </w:r>
      <w:r w:rsidR="00C5340A">
        <w:t>е 2017</w:t>
      </w:r>
      <w:r w:rsidR="001D5E53" w:rsidRPr="00BF0465">
        <w:t xml:space="preserve"> года </w:t>
      </w:r>
      <w:r w:rsidRPr="00BF0465">
        <w:t xml:space="preserve"> прибыло </w:t>
      </w:r>
      <w:r w:rsidR="00BB7B85">
        <w:t>1496</w:t>
      </w:r>
      <w:r w:rsidRPr="00BF0465">
        <w:t xml:space="preserve"> чел., что на </w:t>
      </w:r>
      <w:r w:rsidR="00451428">
        <w:t>656</w:t>
      </w:r>
      <w:r w:rsidRPr="00BF0465">
        <w:t xml:space="preserve"> чел.  </w:t>
      </w:r>
      <w:r w:rsidR="00C5340A">
        <w:t>меньше</w:t>
      </w:r>
      <w:r w:rsidRPr="00BF0465">
        <w:t xml:space="preserve"> </w:t>
      </w:r>
      <w:r w:rsidR="00D81887" w:rsidRPr="00BF0465">
        <w:t xml:space="preserve">аналогичного периода </w:t>
      </w:r>
      <w:r w:rsidRPr="00BF0465">
        <w:t>201</w:t>
      </w:r>
      <w:r w:rsidR="00C5340A">
        <w:t>6</w:t>
      </w:r>
      <w:r w:rsidRPr="00BF0465">
        <w:t xml:space="preserve"> года.</w:t>
      </w:r>
    </w:p>
    <w:p w:rsidR="00CB0512" w:rsidRPr="004D35AF" w:rsidRDefault="00CB0512" w:rsidP="00CB0512">
      <w:pPr>
        <w:ind w:firstLine="539"/>
        <w:jc w:val="both"/>
      </w:pPr>
      <w:r w:rsidRPr="004D35AF">
        <w:lastRenderedPageBreak/>
        <w:t xml:space="preserve">Общее число прибывших на территорию </w:t>
      </w:r>
      <w:r w:rsidR="00B63241" w:rsidRPr="004D35AF">
        <w:t>района</w:t>
      </w:r>
      <w:r w:rsidRPr="004D35AF">
        <w:t xml:space="preserve"> по оценке 201</w:t>
      </w:r>
      <w:r w:rsidR="001964FE">
        <w:t>7</w:t>
      </w:r>
      <w:r w:rsidRPr="004D35AF">
        <w:t xml:space="preserve"> года составит </w:t>
      </w:r>
      <w:r w:rsidR="001964FE">
        <w:t>около 2,5</w:t>
      </w:r>
      <w:r w:rsidR="00B63241" w:rsidRPr="004D35AF">
        <w:t xml:space="preserve"> тыс. чел.</w:t>
      </w:r>
      <w:r w:rsidRPr="004D35AF">
        <w:t xml:space="preserve"> В краткосрочном периоде 201</w:t>
      </w:r>
      <w:r w:rsidR="0046013C">
        <w:t>8-2020</w:t>
      </w:r>
      <w:r w:rsidRPr="004D35AF">
        <w:t xml:space="preserve">гг. прогнозируется стабильное положительное сальдо миграции в количестве  </w:t>
      </w:r>
      <w:r w:rsidR="00941B48">
        <w:t xml:space="preserve">от </w:t>
      </w:r>
      <w:r w:rsidR="004702AC">
        <w:t>250</w:t>
      </w:r>
      <w:r w:rsidR="00941B48">
        <w:t xml:space="preserve"> до </w:t>
      </w:r>
      <w:r w:rsidR="004702AC">
        <w:t xml:space="preserve">290 </w:t>
      </w:r>
      <w:r w:rsidR="00DE45AE" w:rsidRPr="004D35AF">
        <w:t>человек ежегодно</w:t>
      </w:r>
      <w:r w:rsidRPr="004D35AF">
        <w:t xml:space="preserve">. </w:t>
      </w:r>
    </w:p>
    <w:p w:rsidR="00CB0512" w:rsidRPr="004D35AF" w:rsidRDefault="00CB0512" w:rsidP="003F2CD0">
      <w:pPr>
        <w:ind w:firstLine="709"/>
        <w:jc w:val="both"/>
      </w:pPr>
      <w:r w:rsidRPr="004D35AF">
        <w:t>В связи с влиянием ряда демографических факторов: выезд жителей</w:t>
      </w:r>
      <w:r w:rsidR="004D35AF" w:rsidRPr="004D35AF">
        <w:t>,</w:t>
      </w:r>
      <w:r w:rsidRPr="004D35AF">
        <w:t xml:space="preserve"> выбытие студентов по месту учебы, как внутри области, так и в другие регионы России,- происходит изменение структуры населения. </w:t>
      </w:r>
    </w:p>
    <w:p w:rsidR="00CB0512" w:rsidRDefault="00CB0512" w:rsidP="00CB0512">
      <w:pPr>
        <w:ind w:firstLine="709"/>
        <w:jc w:val="right"/>
        <w:rPr>
          <w:sz w:val="24"/>
          <w:szCs w:val="24"/>
        </w:rPr>
      </w:pPr>
      <w:r w:rsidRPr="00CB0512">
        <w:rPr>
          <w:sz w:val="24"/>
          <w:szCs w:val="24"/>
        </w:rPr>
        <w:t>График 2</w:t>
      </w:r>
    </w:p>
    <w:p w:rsidR="00360A14" w:rsidRPr="00360A14" w:rsidRDefault="00360A14" w:rsidP="00CB0512">
      <w:pPr>
        <w:ind w:firstLine="709"/>
        <w:jc w:val="right"/>
        <w:rPr>
          <w:rFonts w:ascii="Arial" w:hAnsi="Arial" w:cs="Arial"/>
          <w:sz w:val="18"/>
          <w:szCs w:val="18"/>
        </w:rPr>
      </w:pPr>
    </w:p>
    <w:p w:rsidR="00CB0512" w:rsidRPr="00A042A7" w:rsidRDefault="00E47FB4" w:rsidP="00CB0512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23610" cy="3795395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B0512" w:rsidRPr="00A042A7">
        <w:rPr>
          <w:b/>
        </w:rPr>
        <w:tab/>
      </w:r>
    </w:p>
    <w:p w:rsidR="00CB0512" w:rsidRPr="00CB0512" w:rsidRDefault="00CB0512" w:rsidP="004D35AF">
      <w:pPr>
        <w:ind w:firstLine="708"/>
        <w:jc w:val="both"/>
      </w:pPr>
      <w:r w:rsidRPr="00CB0512">
        <w:t xml:space="preserve">На основании статистических данных по основным возрастным категориям видно, что в </w:t>
      </w:r>
      <w:r w:rsidR="00231BD3">
        <w:t>2016</w:t>
      </w:r>
      <w:r w:rsidR="004D35AF">
        <w:t xml:space="preserve"> году</w:t>
      </w:r>
      <w:r w:rsidRPr="00CB0512">
        <w:t xml:space="preserve"> численность населения в трудоспособном возрасте </w:t>
      </w:r>
      <w:r w:rsidR="00231BD3">
        <w:t>увеличилась</w:t>
      </w:r>
      <w:r w:rsidRPr="00CB0512">
        <w:t xml:space="preserve"> на </w:t>
      </w:r>
      <w:r w:rsidR="00231BD3">
        <w:t>500</w:t>
      </w:r>
      <w:r w:rsidRPr="00CB0512">
        <w:t xml:space="preserve"> чел. и составила </w:t>
      </w:r>
      <w:r w:rsidR="00231BD3">
        <w:t>35,5</w:t>
      </w:r>
      <w:r w:rsidR="004D35AF">
        <w:t xml:space="preserve"> тыс.</w:t>
      </w:r>
      <w:r w:rsidR="00231BD3">
        <w:t xml:space="preserve"> чел.</w:t>
      </w:r>
    </w:p>
    <w:p w:rsidR="00CB0512" w:rsidRDefault="00CB0512" w:rsidP="00CB0512">
      <w:pPr>
        <w:jc w:val="both"/>
        <w:rPr>
          <w:i/>
          <w:u w:val="single"/>
        </w:rPr>
      </w:pPr>
    </w:p>
    <w:p w:rsidR="00102267" w:rsidRPr="00CB0512" w:rsidRDefault="00102267" w:rsidP="00102267">
      <w:pPr>
        <w:spacing w:line="360" w:lineRule="auto"/>
        <w:rPr>
          <w:b/>
          <w:bCs/>
        </w:rPr>
      </w:pPr>
      <w:r w:rsidRPr="00CB0512">
        <w:rPr>
          <w:b/>
          <w:bCs/>
        </w:rPr>
        <w:t>Развитие рынка труда</w:t>
      </w:r>
    </w:p>
    <w:p w:rsidR="00102267" w:rsidRPr="00936DA5" w:rsidRDefault="00102267" w:rsidP="00102267">
      <w:pPr>
        <w:widowControl w:val="0"/>
        <w:ind w:firstLine="709"/>
        <w:jc w:val="both"/>
      </w:pPr>
      <w:r w:rsidRPr="00936DA5">
        <w:t>В 201</w:t>
      </w:r>
      <w:r w:rsidR="002F296A">
        <w:t>6</w:t>
      </w:r>
      <w:r w:rsidRPr="00936DA5">
        <w:t xml:space="preserve"> </w:t>
      </w:r>
      <w:r w:rsidR="002F296A">
        <w:t>н</w:t>
      </w:r>
      <w:r w:rsidRPr="00936DA5">
        <w:t>аблюда</w:t>
      </w:r>
      <w:r w:rsidR="00855B01" w:rsidRPr="00936DA5">
        <w:t>ется</w:t>
      </w:r>
      <w:r w:rsidRPr="00936DA5">
        <w:t xml:space="preserve"> </w:t>
      </w:r>
      <w:r w:rsidR="002F296A">
        <w:t>увеличение</w:t>
      </w:r>
      <w:r w:rsidRPr="00936DA5">
        <w:t xml:space="preserve"> численности </w:t>
      </w:r>
      <w:r w:rsidRPr="00936DA5">
        <w:rPr>
          <w:i/>
          <w:u w:val="single"/>
        </w:rPr>
        <w:t>экономически активного</w:t>
      </w:r>
      <w:r w:rsidRPr="00936DA5">
        <w:t xml:space="preserve"> населения по сравнению с 201</w:t>
      </w:r>
      <w:r w:rsidR="002F296A">
        <w:t>5</w:t>
      </w:r>
      <w:r w:rsidRPr="00936DA5">
        <w:t xml:space="preserve"> годом на </w:t>
      </w:r>
      <w:r w:rsidR="002F296A">
        <w:t>56</w:t>
      </w:r>
      <w:r w:rsidRPr="00936DA5">
        <w:t xml:space="preserve"> </w:t>
      </w:r>
      <w:r w:rsidR="00855B01" w:rsidRPr="00936DA5">
        <w:t xml:space="preserve">чел., а численность занятых в экономике </w:t>
      </w:r>
      <w:r w:rsidR="002F296A">
        <w:t>уменьшилась</w:t>
      </w:r>
      <w:r w:rsidR="00855B01" w:rsidRPr="00936DA5">
        <w:t xml:space="preserve"> на </w:t>
      </w:r>
      <w:r w:rsidR="002F296A">
        <w:t>752</w:t>
      </w:r>
      <w:r w:rsidR="00855B01" w:rsidRPr="00936DA5">
        <w:t xml:space="preserve"> чел.</w:t>
      </w:r>
    </w:p>
    <w:p w:rsidR="00102267" w:rsidRPr="00936DA5" w:rsidRDefault="00102267" w:rsidP="00102267">
      <w:pPr>
        <w:widowControl w:val="0"/>
        <w:ind w:firstLine="709"/>
        <w:jc w:val="both"/>
      </w:pPr>
      <w:r w:rsidRPr="00936DA5">
        <w:t>В 201</w:t>
      </w:r>
      <w:r w:rsidR="002D3CB7">
        <w:t>7</w:t>
      </w:r>
      <w:r w:rsidRPr="00936DA5">
        <w:t xml:space="preserve"> году экономически активное население составит </w:t>
      </w:r>
      <w:r w:rsidR="002D3CB7">
        <w:t>22550</w:t>
      </w:r>
      <w:r w:rsidRPr="00936DA5">
        <w:t xml:space="preserve"> чел., а занятое - </w:t>
      </w:r>
      <w:r w:rsidR="00855B01" w:rsidRPr="00936DA5">
        <w:t>2</w:t>
      </w:r>
      <w:r w:rsidR="002D3CB7">
        <w:t>1400</w:t>
      </w:r>
      <w:r w:rsidRPr="00936DA5">
        <w:t xml:space="preserve"> чел.  </w:t>
      </w:r>
      <w:r w:rsidR="00CF65FE" w:rsidRPr="00936DA5">
        <w:t>Увеличение</w:t>
      </w:r>
      <w:r w:rsidRPr="00936DA5">
        <w:t xml:space="preserve"> численности занятых в экономике </w:t>
      </w:r>
      <w:r w:rsidR="00CF65FE" w:rsidRPr="00936DA5">
        <w:t>района</w:t>
      </w:r>
      <w:r w:rsidRPr="00936DA5">
        <w:t xml:space="preserve"> будет происходить </w:t>
      </w:r>
      <w:r w:rsidR="00CF65FE" w:rsidRPr="00936DA5">
        <w:t>за счёт создания новых рабочих мест</w:t>
      </w:r>
      <w:r w:rsidRPr="00936DA5">
        <w:t>.</w:t>
      </w:r>
    </w:p>
    <w:p w:rsidR="00102267" w:rsidRPr="00936DA5" w:rsidRDefault="00102267" w:rsidP="00102267">
      <w:pPr>
        <w:widowControl w:val="0"/>
        <w:ind w:firstLine="709"/>
        <w:jc w:val="both"/>
      </w:pPr>
      <w:r w:rsidRPr="00936DA5">
        <w:t xml:space="preserve">К концу прогнозного периода ожидается увеличение экономически активного населения до </w:t>
      </w:r>
      <w:r w:rsidR="002D3CB7">
        <w:t>22700</w:t>
      </w:r>
      <w:r w:rsidRPr="00936DA5">
        <w:t xml:space="preserve"> (</w:t>
      </w:r>
      <w:r w:rsidR="001F36E3" w:rsidRPr="00936DA5">
        <w:t>на</w:t>
      </w:r>
      <w:r w:rsidR="00B57A45">
        <w:t xml:space="preserve"> </w:t>
      </w:r>
      <w:r w:rsidR="001F36E3" w:rsidRPr="00936DA5">
        <w:t>1</w:t>
      </w:r>
      <w:r w:rsidR="002D3CB7">
        <w:t>78</w:t>
      </w:r>
      <w:r w:rsidR="001F36E3" w:rsidRPr="00936DA5">
        <w:t xml:space="preserve"> чел.</w:t>
      </w:r>
      <w:r w:rsidRPr="00936DA5">
        <w:t>) чел.</w:t>
      </w:r>
    </w:p>
    <w:p w:rsidR="00102267" w:rsidRPr="00CB0512" w:rsidRDefault="00102267" w:rsidP="00102267">
      <w:pPr>
        <w:ind w:right="43" w:firstLine="709"/>
        <w:jc w:val="right"/>
        <w:rPr>
          <w:sz w:val="24"/>
          <w:szCs w:val="24"/>
        </w:rPr>
      </w:pPr>
      <w:r w:rsidRPr="00CB0512">
        <w:rPr>
          <w:sz w:val="24"/>
          <w:szCs w:val="24"/>
        </w:rPr>
        <w:t xml:space="preserve">Таблица </w:t>
      </w:r>
      <w:r w:rsidR="00301A5B">
        <w:rPr>
          <w:sz w:val="24"/>
          <w:szCs w:val="24"/>
        </w:rPr>
        <w:t>1</w:t>
      </w:r>
    </w:p>
    <w:p w:rsidR="00102267" w:rsidRPr="00CB0512" w:rsidRDefault="00102267" w:rsidP="00102267">
      <w:pPr>
        <w:ind w:right="43"/>
        <w:jc w:val="center"/>
        <w:rPr>
          <w:b/>
          <w:bCs/>
          <w:szCs w:val="20"/>
        </w:rPr>
      </w:pPr>
      <w:r w:rsidRPr="00CB0512">
        <w:rPr>
          <w:b/>
          <w:bCs/>
          <w:szCs w:val="20"/>
        </w:rPr>
        <w:t xml:space="preserve">Численность экономически активного и занятого в экономике населения </w:t>
      </w:r>
      <w:proofErr w:type="spellStart"/>
      <w:r w:rsidR="006441A6">
        <w:rPr>
          <w:b/>
          <w:bCs/>
          <w:szCs w:val="20"/>
        </w:rPr>
        <w:t>Ке</w:t>
      </w:r>
      <w:r w:rsidR="001F36E3">
        <w:rPr>
          <w:b/>
          <w:bCs/>
          <w:szCs w:val="20"/>
        </w:rPr>
        <w:t>товского</w:t>
      </w:r>
      <w:proofErr w:type="spellEnd"/>
      <w:r w:rsidR="001F36E3">
        <w:rPr>
          <w:b/>
          <w:bCs/>
          <w:szCs w:val="20"/>
        </w:rPr>
        <w:t xml:space="preserve"> района</w:t>
      </w:r>
      <w:r w:rsidRPr="00CB0512">
        <w:rPr>
          <w:b/>
          <w:bCs/>
          <w:szCs w:val="20"/>
        </w:rPr>
        <w:t xml:space="preserve"> (чел)</w:t>
      </w:r>
    </w:p>
    <w:p w:rsidR="00102267" w:rsidRPr="00CB0512" w:rsidRDefault="00102267" w:rsidP="00102267">
      <w:pPr>
        <w:ind w:right="43"/>
        <w:jc w:val="center"/>
        <w:rPr>
          <w:sz w:val="10"/>
          <w:szCs w:val="1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9"/>
        <w:gridCol w:w="1123"/>
        <w:gridCol w:w="1123"/>
        <w:gridCol w:w="1123"/>
        <w:gridCol w:w="1123"/>
        <w:gridCol w:w="1123"/>
      </w:tblGrid>
      <w:tr w:rsidR="00102267" w:rsidRPr="00CB0512" w:rsidTr="00747581">
        <w:trPr>
          <w:trHeight w:val="475"/>
        </w:trPr>
        <w:tc>
          <w:tcPr>
            <w:tcW w:w="3879" w:type="dxa"/>
          </w:tcPr>
          <w:p w:rsidR="00102267" w:rsidRPr="00CB0512" w:rsidRDefault="00102267" w:rsidP="00747581">
            <w:pPr>
              <w:ind w:right="43"/>
              <w:jc w:val="center"/>
              <w:rPr>
                <w:bCs/>
                <w:szCs w:val="20"/>
              </w:rPr>
            </w:pPr>
          </w:p>
        </w:tc>
        <w:tc>
          <w:tcPr>
            <w:tcW w:w="1123" w:type="dxa"/>
          </w:tcPr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201</w:t>
            </w:r>
            <w:r w:rsidR="00AD331B">
              <w:rPr>
                <w:sz w:val="22"/>
                <w:szCs w:val="22"/>
              </w:rPr>
              <w:t>6</w:t>
            </w:r>
            <w:r w:rsidRPr="00CB0512">
              <w:rPr>
                <w:sz w:val="22"/>
                <w:szCs w:val="22"/>
              </w:rPr>
              <w:t>г.-</w:t>
            </w:r>
          </w:p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отчет</w:t>
            </w:r>
          </w:p>
        </w:tc>
        <w:tc>
          <w:tcPr>
            <w:tcW w:w="1123" w:type="dxa"/>
          </w:tcPr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201</w:t>
            </w:r>
            <w:r w:rsidR="00AD331B">
              <w:rPr>
                <w:sz w:val="22"/>
                <w:szCs w:val="22"/>
              </w:rPr>
              <w:t>7</w:t>
            </w:r>
            <w:r w:rsidRPr="00CB0512">
              <w:rPr>
                <w:sz w:val="22"/>
                <w:szCs w:val="22"/>
              </w:rPr>
              <w:t>г.-</w:t>
            </w:r>
          </w:p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оценка</w:t>
            </w:r>
          </w:p>
        </w:tc>
        <w:tc>
          <w:tcPr>
            <w:tcW w:w="1123" w:type="dxa"/>
          </w:tcPr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201</w:t>
            </w:r>
            <w:r w:rsidR="00AD331B">
              <w:rPr>
                <w:sz w:val="22"/>
                <w:szCs w:val="22"/>
              </w:rPr>
              <w:t>8</w:t>
            </w:r>
            <w:r w:rsidRPr="00CB0512">
              <w:rPr>
                <w:sz w:val="22"/>
                <w:szCs w:val="22"/>
              </w:rPr>
              <w:t>г.-</w:t>
            </w:r>
          </w:p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  <w:tc>
          <w:tcPr>
            <w:tcW w:w="1123" w:type="dxa"/>
          </w:tcPr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201</w:t>
            </w:r>
            <w:r w:rsidR="00AD331B">
              <w:rPr>
                <w:sz w:val="22"/>
                <w:szCs w:val="22"/>
              </w:rPr>
              <w:t>9</w:t>
            </w:r>
            <w:r w:rsidRPr="00CB0512">
              <w:rPr>
                <w:sz w:val="22"/>
                <w:szCs w:val="22"/>
              </w:rPr>
              <w:t>г.-</w:t>
            </w:r>
          </w:p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  <w:tc>
          <w:tcPr>
            <w:tcW w:w="1123" w:type="dxa"/>
          </w:tcPr>
          <w:p w:rsidR="00102267" w:rsidRPr="00CB0512" w:rsidRDefault="00AD331B" w:rsidP="00747581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02267" w:rsidRPr="00CB0512">
              <w:rPr>
                <w:sz w:val="22"/>
                <w:szCs w:val="22"/>
              </w:rPr>
              <w:t>г.-</w:t>
            </w:r>
          </w:p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</w:tr>
      <w:tr w:rsidR="00102267" w:rsidRPr="00CB0512" w:rsidTr="00747581">
        <w:trPr>
          <w:trHeight w:val="297"/>
        </w:trPr>
        <w:tc>
          <w:tcPr>
            <w:tcW w:w="3879" w:type="dxa"/>
          </w:tcPr>
          <w:p w:rsidR="00102267" w:rsidRPr="00CB0512" w:rsidRDefault="00102267" w:rsidP="00747581">
            <w:pPr>
              <w:ind w:right="43"/>
              <w:rPr>
                <w:b/>
                <w:bCs/>
                <w:sz w:val="24"/>
                <w:szCs w:val="24"/>
              </w:rPr>
            </w:pPr>
            <w:r w:rsidRPr="00CB0512">
              <w:rPr>
                <w:b/>
                <w:bCs/>
                <w:sz w:val="24"/>
                <w:szCs w:val="24"/>
              </w:rPr>
              <w:t>Всего занятого в экономике</w:t>
            </w:r>
          </w:p>
        </w:tc>
        <w:tc>
          <w:tcPr>
            <w:tcW w:w="1123" w:type="dxa"/>
            <w:vAlign w:val="center"/>
          </w:tcPr>
          <w:p w:rsidR="00102267" w:rsidRPr="00CB0512" w:rsidRDefault="006D4B1C" w:rsidP="00747581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21350</w:t>
            </w:r>
          </w:p>
        </w:tc>
        <w:tc>
          <w:tcPr>
            <w:tcW w:w="1123" w:type="dxa"/>
            <w:vAlign w:val="center"/>
          </w:tcPr>
          <w:p w:rsidR="00102267" w:rsidRPr="00CB0512" w:rsidRDefault="006D4B1C" w:rsidP="00747581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21400</w:t>
            </w:r>
          </w:p>
        </w:tc>
        <w:tc>
          <w:tcPr>
            <w:tcW w:w="1123" w:type="dxa"/>
            <w:vAlign w:val="center"/>
          </w:tcPr>
          <w:p w:rsidR="00102267" w:rsidRPr="00CB0512" w:rsidRDefault="006D4B1C" w:rsidP="00747581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21500</w:t>
            </w:r>
          </w:p>
        </w:tc>
        <w:tc>
          <w:tcPr>
            <w:tcW w:w="1123" w:type="dxa"/>
            <w:vAlign w:val="center"/>
          </w:tcPr>
          <w:p w:rsidR="00102267" w:rsidRPr="00CB0512" w:rsidRDefault="006D4B1C" w:rsidP="00747581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</w:t>
            </w:r>
          </w:p>
        </w:tc>
        <w:tc>
          <w:tcPr>
            <w:tcW w:w="1123" w:type="dxa"/>
            <w:vAlign w:val="center"/>
          </w:tcPr>
          <w:p w:rsidR="00102267" w:rsidRPr="00CB0512" w:rsidRDefault="006D4B1C" w:rsidP="00747581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21700</w:t>
            </w:r>
          </w:p>
        </w:tc>
      </w:tr>
      <w:tr w:rsidR="00102267" w:rsidRPr="00CB0512" w:rsidTr="00747581">
        <w:trPr>
          <w:trHeight w:val="276"/>
        </w:trPr>
        <w:tc>
          <w:tcPr>
            <w:tcW w:w="3879" w:type="dxa"/>
          </w:tcPr>
          <w:p w:rsidR="00102267" w:rsidRPr="00CB0512" w:rsidRDefault="00102267" w:rsidP="00747581">
            <w:pPr>
              <w:ind w:right="43"/>
              <w:jc w:val="right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  <w:vAlign w:val="center"/>
          </w:tcPr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102267" w:rsidRPr="00CB0512" w:rsidRDefault="00102267" w:rsidP="00747581">
            <w:pPr>
              <w:ind w:right="43"/>
              <w:jc w:val="center"/>
              <w:rPr>
                <w:sz w:val="22"/>
                <w:szCs w:val="22"/>
              </w:rPr>
            </w:pPr>
          </w:p>
        </w:tc>
      </w:tr>
      <w:tr w:rsidR="00102267" w:rsidRPr="00CB0512" w:rsidTr="00747581">
        <w:trPr>
          <w:trHeight w:val="276"/>
        </w:trPr>
        <w:tc>
          <w:tcPr>
            <w:tcW w:w="3879" w:type="dxa"/>
          </w:tcPr>
          <w:p w:rsidR="00102267" w:rsidRPr="00CB0512" w:rsidRDefault="00102267" w:rsidP="006441A6">
            <w:pPr>
              <w:ind w:right="43"/>
              <w:rPr>
                <w:sz w:val="24"/>
                <w:szCs w:val="24"/>
              </w:rPr>
            </w:pPr>
            <w:proofErr w:type="gramStart"/>
            <w:r w:rsidRPr="00CB0512">
              <w:rPr>
                <w:sz w:val="24"/>
                <w:szCs w:val="24"/>
              </w:rPr>
              <w:t xml:space="preserve">Среднесписочная численность, работающих на предприятиях </w:t>
            </w:r>
            <w:r w:rsidR="006441A6">
              <w:rPr>
                <w:sz w:val="24"/>
                <w:szCs w:val="24"/>
              </w:rPr>
              <w:t>района</w:t>
            </w:r>
            <w:r w:rsidRPr="00CB0512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14558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14472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DB188E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14520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14550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14580</w:t>
            </w:r>
          </w:p>
        </w:tc>
      </w:tr>
      <w:tr w:rsidR="00102267" w:rsidRPr="00CB0512" w:rsidTr="00747581">
        <w:trPr>
          <w:trHeight w:val="276"/>
        </w:trPr>
        <w:tc>
          <w:tcPr>
            <w:tcW w:w="3879" w:type="dxa"/>
          </w:tcPr>
          <w:p w:rsidR="00102267" w:rsidRPr="00CB0512" w:rsidRDefault="00102267" w:rsidP="00747581">
            <w:pPr>
              <w:ind w:right="43"/>
              <w:jc w:val="right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Крупные</w:t>
            </w:r>
            <w:r w:rsidR="002E55B1">
              <w:rPr>
                <w:sz w:val="24"/>
                <w:szCs w:val="24"/>
              </w:rPr>
              <w:t xml:space="preserve"> и средние</w:t>
            </w:r>
            <w:r w:rsidRPr="00CB0512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9463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9407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DB188E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9438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DB188E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9458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DB188E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9477</w:t>
            </w:r>
          </w:p>
        </w:tc>
      </w:tr>
      <w:tr w:rsidR="00102267" w:rsidRPr="00CB0512" w:rsidTr="00747581">
        <w:trPr>
          <w:trHeight w:val="297"/>
        </w:trPr>
        <w:tc>
          <w:tcPr>
            <w:tcW w:w="3879" w:type="dxa"/>
          </w:tcPr>
          <w:p w:rsidR="00102267" w:rsidRPr="00CB0512" w:rsidRDefault="00102267" w:rsidP="00747581">
            <w:pPr>
              <w:ind w:right="43"/>
              <w:jc w:val="right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5095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5065</w:t>
            </w:r>
          </w:p>
        </w:tc>
        <w:tc>
          <w:tcPr>
            <w:tcW w:w="1123" w:type="dxa"/>
          </w:tcPr>
          <w:p w:rsidR="00102267" w:rsidRPr="00D05A2D" w:rsidRDefault="00D05A2D" w:rsidP="00DB188E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5082</w:t>
            </w:r>
          </w:p>
        </w:tc>
        <w:tc>
          <w:tcPr>
            <w:tcW w:w="1123" w:type="dxa"/>
          </w:tcPr>
          <w:p w:rsidR="00102267" w:rsidRPr="00D05A2D" w:rsidRDefault="00D05A2D" w:rsidP="00DB188E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5092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DB188E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D05A2D">
              <w:rPr>
                <w:color w:val="000000" w:themeColor="text1"/>
                <w:sz w:val="22"/>
                <w:szCs w:val="22"/>
              </w:rPr>
              <w:t>5103</w:t>
            </w:r>
          </w:p>
        </w:tc>
      </w:tr>
      <w:tr w:rsidR="00102267" w:rsidRPr="00CB0512" w:rsidTr="00747581">
        <w:trPr>
          <w:trHeight w:val="869"/>
        </w:trPr>
        <w:tc>
          <w:tcPr>
            <w:tcW w:w="3879" w:type="dxa"/>
          </w:tcPr>
          <w:p w:rsidR="00102267" w:rsidRPr="00CB0512" w:rsidRDefault="00102267" w:rsidP="00747581">
            <w:pPr>
              <w:ind w:right="43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Лица занятые индивидуальным трудом и по найму у отдельных граждан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6792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DB188E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6928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6980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7050</w:t>
            </w:r>
          </w:p>
        </w:tc>
        <w:tc>
          <w:tcPr>
            <w:tcW w:w="1123" w:type="dxa"/>
            <w:vAlign w:val="center"/>
          </w:tcPr>
          <w:p w:rsidR="00102267" w:rsidRPr="00D05A2D" w:rsidRDefault="00D05A2D" w:rsidP="00747581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05A2D">
              <w:rPr>
                <w:color w:val="000000" w:themeColor="text1"/>
                <w:sz w:val="22"/>
                <w:szCs w:val="22"/>
                <w:u w:val="single"/>
              </w:rPr>
              <w:t>7120</w:t>
            </w:r>
          </w:p>
        </w:tc>
      </w:tr>
      <w:tr w:rsidR="00102267" w:rsidRPr="00CB0512" w:rsidTr="00747581">
        <w:trPr>
          <w:trHeight w:val="638"/>
        </w:trPr>
        <w:tc>
          <w:tcPr>
            <w:tcW w:w="3879" w:type="dxa"/>
          </w:tcPr>
          <w:p w:rsidR="00102267" w:rsidRPr="00CB0512" w:rsidRDefault="00102267" w:rsidP="00747581">
            <w:pPr>
              <w:ind w:right="43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1123" w:type="dxa"/>
            <w:vAlign w:val="center"/>
          </w:tcPr>
          <w:p w:rsidR="00102267" w:rsidRPr="00CB0512" w:rsidRDefault="005B01CA" w:rsidP="00747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22522</w:t>
            </w:r>
          </w:p>
        </w:tc>
        <w:tc>
          <w:tcPr>
            <w:tcW w:w="1123" w:type="dxa"/>
            <w:vAlign w:val="center"/>
          </w:tcPr>
          <w:p w:rsidR="00102267" w:rsidRPr="00CB0512" w:rsidRDefault="005B01CA" w:rsidP="00747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22550</w:t>
            </w:r>
          </w:p>
        </w:tc>
        <w:tc>
          <w:tcPr>
            <w:tcW w:w="1123" w:type="dxa"/>
            <w:vAlign w:val="center"/>
          </w:tcPr>
          <w:p w:rsidR="00102267" w:rsidRPr="00CB0512" w:rsidRDefault="005B01CA" w:rsidP="00747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22600</w:t>
            </w:r>
          </w:p>
        </w:tc>
        <w:tc>
          <w:tcPr>
            <w:tcW w:w="1123" w:type="dxa"/>
            <w:vAlign w:val="center"/>
          </w:tcPr>
          <w:p w:rsidR="00102267" w:rsidRPr="00CB0512" w:rsidRDefault="005B01CA" w:rsidP="00747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22650</w:t>
            </w:r>
          </w:p>
        </w:tc>
        <w:tc>
          <w:tcPr>
            <w:tcW w:w="1123" w:type="dxa"/>
            <w:vAlign w:val="center"/>
          </w:tcPr>
          <w:p w:rsidR="00102267" w:rsidRPr="00CB0512" w:rsidRDefault="005B01CA" w:rsidP="00747581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22700</w:t>
            </w:r>
          </w:p>
        </w:tc>
      </w:tr>
    </w:tbl>
    <w:p w:rsidR="00102267" w:rsidRPr="00CB0512" w:rsidRDefault="00102267" w:rsidP="00102267">
      <w:pPr>
        <w:ind w:firstLine="708"/>
        <w:jc w:val="both"/>
      </w:pPr>
    </w:p>
    <w:p w:rsidR="00102267" w:rsidRPr="00CB0512" w:rsidRDefault="00102267" w:rsidP="00102267">
      <w:pPr>
        <w:ind w:firstLine="708"/>
        <w:jc w:val="both"/>
      </w:pPr>
      <w:r w:rsidRPr="00CB0512">
        <w:rPr>
          <w:i/>
          <w:u w:val="single"/>
        </w:rPr>
        <w:t>Среднесписочная численность работающих</w:t>
      </w:r>
      <w:r w:rsidRPr="00CB0512">
        <w:t xml:space="preserve"> на предприятиях </w:t>
      </w:r>
      <w:r w:rsidR="00C2036E">
        <w:t>района</w:t>
      </w:r>
      <w:r w:rsidRPr="00CB0512">
        <w:t xml:space="preserve"> по оценке </w:t>
      </w:r>
      <w:r w:rsidRPr="00CB0512">
        <w:rPr>
          <w:b/>
        </w:rPr>
        <w:t>в 201</w:t>
      </w:r>
      <w:r w:rsidR="00ED1933">
        <w:rPr>
          <w:b/>
        </w:rPr>
        <w:t>7</w:t>
      </w:r>
      <w:r w:rsidRPr="00CB0512">
        <w:t xml:space="preserve"> году снизится на </w:t>
      </w:r>
      <w:r w:rsidR="000E1C60">
        <w:t>86</w:t>
      </w:r>
      <w:r w:rsidRPr="00CB0512">
        <w:t xml:space="preserve"> человек и составит </w:t>
      </w:r>
      <w:r w:rsidR="000E1C60">
        <w:t>14472</w:t>
      </w:r>
      <w:r w:rsidRPr="00CB0512">
        <w:t xml:space="preserve"> чел. Снижение численности произойдет на </w:t>
      </w:r>
      <w:r w:rsidR="00C2036E">
        <w:t xml:space="preserve">крупных и средних </w:t>
      </w:r>
      <w:r w:rsidRPr="00CB0512">
        <w:t xml:space="preserve"> предприятиях в количестве </w:t>
      </w:r>
      <w:r w:rsidR="000E1C60">
        <w:t>56</w:t>
      </w:r>
      <w:r w:rsidRPr="00CB0512">
        <w:t xml:space="preserve"> чел</w:t>
      </w:r>
      <w:r w:rsidR="006B198B">
        <w:t>.,</w:t>
      </w:r>
      <w:r w:rsidRPr="00CB0512">
        <w:t xml:space="preserve"> </w:t>
      </w:r>
      <w:r w:rsidR="006336B1">
        <w:t xml:space="preserve">на малых предприятиях </w:t>
      </w:r>
      <w:r w:rsidRPr="00CB0512">
        <w:t xml:space="preserve"> </w:t>
      </w:r>
      <w:r w:rsidR="006336B1">
        <w:t xml:space="preserve">района </w:t>
      </w:r>
      <w:r w:rsidRPr="00CB0512">
        <w:t xml:space="preserve"> на </w:t>
      </w:r>
      <w:r w:rsidR="000E1C60">
        <w:t>30</w:t>
      </w:r>
      <w:r w:rsidRPr="00CB0512">
        <w:t xml:space="preserve"> чел.</w:t>
      </w:r>
      <w:r w:rsidR="006B198B" w:rsidRPr="006B198B">
        <w:t xml:space="preserve"> </w:t>
      </w:r>
      <w:r w:rsidR="006B198B" w:rsidRPr="00CB0512">
        <w:t>(по данным ИФНС в первом полугодии 201</w:t>
      </w:r>
      <w:r w:rsidR="000E1C60">
        <w:t>7</w:t>
      </w:r>
      <w:r w:rsidR="006B198B" w:rsidRPr="00CB0512">
        <w:t xml:space="preserve"> года закрыто </w:t>
      </w:r>
      <w:r w:rsidR="000E1C60">
        <w:t>37</w:t>
      </w:r>
      <w:r w:rsidR="006B198B" w:rsidRPr="00CB0512">
        <w:t xml:space="preserve"> </w:t>
      </w:r>
      <w:r w:rsidR="006B198B">
        <w:t>юридических лиц</w:t>
      </w:r>
      <w:r w:rsidR="006B198B" w:rsidRPr="00CB0512">
        <w:t>)</w:t>
      </w:r>
      <w:r w:rsidR="003F0F38">
        <w:t>.</w:t>
      </w:r>
    </w:p>
    <w:p w:rsidR="00102267" w:rsidRPr="00CB0512" w:rsidRDefault="00102267" w:rsidP="00102267">
      <w:pPr>
        <w:ind w:firstLine="709"/>
        <w:jc w:val="both"/>
        <w:rPr>
          <w:bCs/>
          <w:szCs w:val="20"/>
        </w:rPr>
      </w:pPr>
      <w:r w:rsidRPr="00CB0512">
        <w:t>В 201</w:t>
      </w:r>
      <w:r w:rsidR="00AF1095">
        <w:t>9-2020</w:t>
      </w:r>
      <w:r w:rsidRPr="00CB0512">
        <w:t xml:space="preserve"> годах намечается </w:t>
      </w:r>
      <w:proofErr w:type="spellStart"/>
      <w:r w:rsidRPr="00CB0512">
        <w:t>посткризисная</w:t>
      </w:r>
      <w:proofErr w:type="spellEnd"/>
      <w:r w:rsidRPr="00CB0512">
        <w:t xml:space="preserve"> стабилизация среднесписочной численности работающих на предприятиях </w:t>
      </w:r>
      <w:proofErr w:type="gramStart"/>
      <w:r w:rsidR="006B198B">
        <w:t>района</w:t>
      </w:r>
      <w:proofErr w:type="gramEnd"/>
      <w:r w:rsidR="006B198B" w:rsidRPr="006B198B">
        <w:t xml:space="preserve"> </w:t>
      </w:r>
      <w:r w:rsidR="006B198B" w:rsidRPr="00CB0512">
        <w:t>и даже ее некоторое увеличение  по сравнению с предыдущими</w:t>
      </w:r>
      <w:r w:rsidR="006B198B">
        <w:t xml:space="preserve"> годами</w:t>
      </w:r>
      <w:r w:rsidRPr="00CB0512">
        <w:t xml:space="preserve"> до </w:t>
      </w:r>
      <w:r w:rsidR="00AF1095">
        <w:t>14550</w:t>
      </w:r>
      <w:r w:rsidRPr="00CB0512">
        <w:t>-</w:t>
      </w:r>
      <w:r w:rsidR="00AF1095">
        <w:t>14580</w:t>
      </w:r>
      <w:r w:rsidRPr="00CB0512">
        <w:t xml:space="preserve"> чел.</w:t>
      </w:r>
      <w:r w:rsidR="006B198B">
        <w:t xml:space="preserve"> </w:t>
      </w:r>
      <w:r w:rsidRPr="00CB0512">
        <w:rPr>
          <w:szCs w:val="20"/>
        </w:rPr>
        <w:t>Ч</w:t>
      </w:r>
      <w:r w:rsidRPr="00CB0512">
        <w:rPr>
          <w:bCs/>
          <w:szCs w:val="20"/>
        </w:rPr>
        <w:t>исленность предпринимателей без образования юридического лица и лиц, работающих по найму у отдельных граждан в 201</w:t>
      </w:r>
      <w:r w:rsidR="00AF1095">
        <w:rPr>
          <w:bCs/>
          <w:szCs w:val="20"/>
        </w:rPr>
        <w:t>6</w:t>
      </w:r>
      <w:r w:rsidRPr="00CB0512">
        <w:rPr>
          <w:bCs/>
          <w:szCs w:val="20"/>
        </w:rPr>
        <w:t xml:space="preserve"> году составляла </w:t>
      </w:r>
      <w:r w:rsidR="00AF1095">
        <w:rPr>
          <w:bCs/>
          <w:szCs w:val="20"/>
        </w:rPr>
        <w:t>6792</w:t>
      </w:r>
      <w:r w:rsidRPr="00CB0512">
        <w:rPr>
          <w:bCs/>
          <w:szCs w:val="20"/>
        </w:rPr>
        <w:t xml:space="preserve"> человек. По оценке, в 201</w:t>
      </w:r>
      <w:r w:rsidR="00AF1095">
        <w:rPr>
          <w:bCs/>
          <w:szCs w:val="20"/>
        </w:rPr>
        <w:t>7</w:t>
      </w:r>
      <w:r w:rsidRPr="00CB0512">
        <w:rPr>
          <w:bCs/>
          <w:szCs w:val="20"/>
        </w:rPr>
        <w:t xml:space="preserve"> году численность возрастет до </w:t>
      </w:r>
      <w:r w:rsidR="00AF1095">
        <w:rPr>
          <w:bCs/>
          <w:szCs w:val="20"/>
        </w:rPr>
        <w:t>692</w:t>
      </w:r>
      <w:r w:rsidR="006B198B">
        <w:rPr>
          <w:bCs/>
          <w:szCs w:val="20"/>
        </w:rPr>
        <w:t>8</w:t>
      </w:r>
      <w:r w:rsidRPr="00CB0512">
        <w:rPr>
          <w:bCs/>
          <w:szCs w:val="20"/>
        </w:rPr>
        <w:t xml:space="preserve"> чел., в прогнозируемом периоде 201</w:t>
      </w:r>
      <w:r w:rsidR="00AF1095">
        <w:rPr>
          <w:bCs/>
          <w:szCs w:val="20"/>
        </w:rPr>
        <w:t>8-2020</w:t>
      </w:r>
      <w:r w:rsidRPr="00CB0512">
        <w:rPr>
          <w:bCs/>
          <w:szCs w:val="20"/>
        </w:rPr>
        <w:t xml:space="preserve"> годах соответственно составит </w:t>
      </w:r>
      <w:r w:rsidR="00AF1095">
        <w:rPr>
          <w:bCs/>
          <w:szCs w:val="20"/>
        </w:rPr>
        <w:t>6980, 7050</w:t>
      </w:r>
      <w:r w:rsidR="004E4B74">
        <w:rPr>
          <w:bCs/>
          <w:szCs w:val="20"/>
        </w:rPr>
        <w:t xml:space="preserve"> </w:t>
      </w:r>
      <w:r w:rsidR="006B198B">
        <w:rPr>
          <w:bCs/>
          <w:szCs w:val="20"/>
        </w:rPr>
        <w:t xml:space="preserve"> </w:t>
      </w:r>
      <w:r w:rsidR="004E4B74">
        <w:rPr>
          <w:bCs/>
          <w:szCs w:val="20"/>
        </w:rPr>
        <w:t xml:space="preserve">и </w:t>
      </w:r>
      <w:r w:rsidR="00AF1095">
        <w:rPr>
          <w:bCs/>
          <w:szCs w:val="20"/>
        </w:rPr>
        <w:t>7120</w:t>
      </w:r>
      <w:r w:rsidRPr="00CB0512">
        <w:rPr>
          <w:bCs/>
          <w:szCs w:val="20"/>
        </w:rPr>
        <w:t xml:space="preserve"> чел.  </w:t>
      </w:r>
    </w:p>
    <w:p w:rsidR="00102267" w:rsidRPr="00936DA5" w:rsidRDefault="00102267" w:rsidP="00102267">
      <w:pPr>
        <w:ind w:firstLine="709"/>
        <w:jc w:val="both"/>
      </w:pPr>
      <w:proofErr w:type="gramStart"/>
      <w:r w:rsidRPr="00936DA5">
        <w:t xml:space="preserve">Преобладающая часть работающих по </w:t>
      </w:r>
      <w:r w:rsidR="00D72BCC" w:rsidRPr="00936DA5">
        <w:t>району</w:t>
      </w:r>
      <w:r w:rsidRPr="00936DA5">
        <w:t xml:space="preserve"> сосредоточена на крупных и средних предприятиях.</w:t>
      </w:r>
      <w:proofErr w:type="gramEnd"/>
      <w:r w:rsidRPr="00936DA5">
        <w:t xml:space="preserve"> Так, в 201</w:t>
      </w:r>
      <w:r w:rsidR="00DA36B2">
        <w:t>6</w:t>
      </w:r>
      <w:r w:rsidRPr="00936DA5">
        <w:t xml:space="preserve"> году она составила </w:t>
      </w:r>
      <w:r w:rsidR="00DA36B2">
        <w:t>44,3</w:t>
      </w:r>
      <w:r w:rsidRPr="00936DA5">
        <w:t>% от общей численности занятых, в 201</w:t>
      </w:r>
      <w:r w:rsidR="00DA36B2">
        <w:t>7</w:t>
      </w:r>
      <w:r w:rsidRPr="00936DA5">
        <w:t xml:space="preserve"> году – </w:t>
      </w:r>
      <w:r w:rsidR="00DA36B2">
        <w:t>43,9</w:t>
      </w:r>
      <w:r w:rsidRPr="00936DA5">
        <w:t xml:space="preserve">%, к концу прогнозного периода количество работающих в данных предприятиях ожидается в размере </w:t>
      </w:r>
      <w:r w:rsidR="00DA36B2">
        <w:t>43,7</w:t>
      </w:r>
      <w:r w:rsidRPr="00936DA5">
        <w:t xml:space="preserve">% от численности занятых в экономике </w:t>
      </w:r>
      <w:r w:rsidR="00D72BCC" w:rsidRPr="00936DA5">
        <w:t>района</w:t>
      </w:r>
      <w:r w:rsidRPr="00936DA5">
        <w:t xml:space="preserve">. </w:t>
      </w:r>
    </w:p>
    <w:p w:rsidR="00102267" w:rsidRPr="00936DA5" w:rsidRDefault="00102267" w:rsidP="00102267">
      <w:pPr>
        <w:ind w:firstLine="709"/>
        <w:jc w:val="both"/>
        <w:rPr>
          <w:szCs w:val="20"/>
        </w:rPr>
      </w:pPr>
      <w:r w:rsidRPr="00936DA5">
        <w:rPr>
          <w:szCs w:val="20"/>
        </w:rPr>
        <w:t>Доля среднесписочной</w:t>
      </w:r>
      <w:r w:rsidR="0029088A" w:rsidRPr="00936DA5">
        <w:rPr>
          <w:szCs w:val="20"/>
        </w:rPr>
        <w:t xml:space="preserve"> численности работников малых </w:t>
      </w:r>
      <w:r w:rsidRPr="00936DA5">
        <w:rPr>
          <w:szCs w:val="20"/>
        </w:rPr>
        <w:t xml:space="preserve">предприятий </w:t>
      </w:r>
      <w:r w:rsidRPr="00936DA5">
        <w:t>от общей численности занятых</w:t>
      </w:r>
      <w:r w:rsidRPr="00936DA5">
        <w:rPr>
          <w:szCs w:val="20"/>
        </w:rPr>
        <w:t xml:space="preserve"> в 201</w:t>
      </w:r>
      <w:r w:rsidR="00971D03">
        <w:rPr>
          <w:szCs w:val="20"/>
        </w:rPr>
        <w:t>6</w:t>
      </w:r>
      <w:r w:rsidRPr="00936DA5">
        <w:rPr>
          <w:szCs w:val="20"/>
        </w:rPr>
        <w:t xml:space="preserve"> году составила </w:t>
      </w:r>
      <w:r w:rsidR="00971D03">
        <w:rPr>
          <w:szCs w:val="20"/>
        </w:rPr>
        <w:t>23,9</w:t>
      </w:r>
      <w:r w:rsidRPr="00936DA5">
        <w:rPr>
          <w:szCs w:val="20"/>
        </w:rPr>
        <w:t>%.</w:t>
      </w:r>
    </w:p>
    <w:p w:rsidR="00102267" w:rsidRPr="00936DA5" w:rsidRDefault="00102267" w:rsidP="00102267">
      <w:pPr>
        <w:ind w:firstLine="709"/>
        <w:jc w:val="both"/>
      </w:pPr>
      <w:r w:rsidRPr="00936DA5">
        <w:t>В 201</w:t>
      </w:r>
      <w:r w:rsidR="00971D03">
        <w:t>7</w:t>
      </w:r>
      <w:r w:rsidRPr="00936DA5">
        <w:t xml:space="preserve"> году численность работающих на </w:t>
      </w:r>
      <w:r w:rsidR="007D34A2" w:rsidRPr="00936DA5">
        <w:t>малых предприятиях</w:t>
      </w:r>
      <w:r w:rsidRPr="00936DA5">
        <w:t xml:space="preserve"> </w:t>
      </w:r>
      <w:r w:rsidR="00971D03">
        <w:t>уменьшится</w:t>
      </w:r>
      <w:r w:rsidR="007D34A2" w:rsidRPr="00936DA5">
        <w:t xml:space="preserve"> </w:t>
      </w:r>
      <w:r w:rsidRPr="00936DA5">
        <w:t xml:space="preserve">на </w:t>
      </w:r>
      <w:r w:rsidR="00971D03">
        <w:t>0</w:t>
      </w:r>
      <w:r w:rsidR="007D34A2" w:rsidRPr="00936DA5">
        <w:t>,6</w:t>
      </w:r>
      <w:r w:rsidRPr="00936DA5">
        <w:t xml:space="preserve">% и составит </w:t>
      </w:r>
      <w:r w:rsidR="00971D03">
        <w:t>5065</w:t>
      </w:r>
      <w:r w:rsidRPr="00936DA5">
        <w:t xml:space="preserve"> чел.</w:t>
      </w:r>
      <w:r w:rsidR="008366CC" w:rsidRPr="00936DA5">
        <w:t xml:space="preserve"> </w:t>
      </w:r>
      <w:r w:rsidRPr="00936DA5">
        <w:t>В прогнозируемом периоде 201</w:t>
      </w:r>
      <w:r w:rsidR="00971D03">
        <w:t>8-2020</w:t>
      </w:r>
      <w:r w:rsidRPr="00936DA5">
        <w:t xml:space="preserve"> гг. численность работающих в данном секторе экономики составит соответственно </w:t>
      </w:r>
      <w:r w:rsidR="007D34A2" w:rsidRPr="00936DA5">
        <w:t xml:space="preserve"> от </w:t>
      </w:r>
      <w:r w:rsidR="00971D03">
        <w:t>5082</w:t>
      </w:r>
      <w:r w:rsidR="007D34A2" w:rsidRPr="00936DA5">
        <w:t xml:space="preserve"> до </w:t>
      </w:r>
      <w:r w:rsidR="00971D03">
        <w:t>5103</w:t>
      </w:r>
      <w:r w:rsidRPr="00936DA5">
        <w:t xml:space="preserve"> чел. </w:t>
      </w:r>
    </w:p>
    <w:p w:rsidR="00102267" w:rsidRDefault="00102267" w:rsidP="00102267">
      <w:pPr>
        <w:jc w:val="right"/>
        <w:rPr>
          <w:sz w:val="24"/>
          <w:szCs w:val="24"/>
        </w:rPr>
      </w:pPr>
      <w:r w:rsidRPr="00CB0512">
        <w:rPr>
          <w:sz w:val="24"/>
          <w:szCs w:val="24"/>
        </w:rPr>
        <w:t xml:space="preserve">График </w:t>
      </w:r>
      <w:r w:rsidR="00CF2D15">
        <w:rPr>
          <w:sz w:val="24"/>
          <w:szCs w:val="24"/>
        </w:rPr>
        <w:t>3</w:t>
      </w:r>
    </w:p>
    <w:p w:rsidR="00A52F41" w:rsidRPr="00CB0512" w:rsidRDefault="008F0DE1" w:rsidP="00102267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1385765"/>
            <wp:effectExtent l="0" t="0" r="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2267" w:rsidRPr="00CB0512" w:rsidRDefault="00E47FB4" w:rsidP="009F0EEF">
      <w:pPr>
        <w:widowControl w:val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3453765" cy="1861820"/>
            <wp:effectExtent l="19050" t="0" r="0" b="0"/>
            <wp:wrapSquare wrapText="bothSides"/>
            <wp:docPr id="10" name="Рисунок 13" descr="Описание: \\admfile\ekonom\Лена\восстановление\Для мониторинга\рынок труда\yarm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\\admfile\ekonom\Лена\восстановление\Для мониторинга\рынок труда\yarmar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267" w:rsidRPr="00CB0512">
        <w:rPr>
          <w:i/>
          <w:u w:val="single"/>
        </w:rPr>
        <w:t xml:space="preserve">Численность </w:t>
      </w:r>
      <w:r w:rsidR="00820EF1">
        <w:rPr>
          <w:i/>
          <w:u w:val="single"/>
        </w:rPr>
        <w:t>б</w:t>
      </w:r>
      <w:r w:rsidR="00102267" w:rsidRPr="00CB0512">
        <w:rPr>
          <w:i/>
          <w:u w:val="single"/>
        </w:rPr>
        <w:t>езработных</w:t>
      </w:r>
      <w:r w:rsidR="00102267" w:rsidRPr="00CB0512">
        <w:t xml:space="preserve">, зарегистрированных в </w:t>
      </w:r>
      <w:r w:rsidR="00DF4965">
        <w:t>службе</w:t>
      </w:r>
      <w:r w:rsidR="00102267" w:rsidRPr="00CB0512">
        <w:t xml:space="preserve"> занятости</w:t>
      </w:r>
      <w:r w:rsidR="00DF4965">
        <w:t xml:space="preserve"> </w:t>
      </w:r>
      <w:r w:rsidR="00102267" w:rsidRPr="00CB0512">
        <w:t>населения</w:t>
      </w:r>
      <w:r w:rsidR="00DF4965" w:rsidRPr="00DF4965">
        <w:t xml:space="preserve"> </w:t>
      </w:r>
      <w:r w:rsidR="00C62F02">
        <w:t>на 01.01.17</w:t>
      </w:r>
      <w:r w:rsidR="00DF4965">
        <w:t xml:space="preserve"> г.</w:t>
      </w:r>
      <w:r w:rsidR="00102267" w:rsidRPr="00CB0512">
        <w:t xml:space="preserve">, составила </w:t>
      </w:r>
      <w:r w:rsidR="00C62F02">
        <w:t>380</w:t>
      </w:r>
      <w:r w:rsidR="00102267" w:rsidRPr="00CB0512">
        <w:t xml:space="preserve"> чел. </w:t>
      </w:r>
      <w:r w:rsidR="00E11D23">
        <w:t>В</w:t>
      </w:r>
      <w:r w:rsidR="00102267" w:rsidRPr="00CB0512">
        <w:t xml:space="preserve"> </w:t>
      </w:r>
      <w:r w:rsidR="000462DB">
        <w:t xml:space="preserve"> прогнозируемом периоде ожидается снижение  уровня регистрируемой безработицы</w:t>
      </w:r>
      <w:r w:rsidR="00102267" w:rsidRPr="00CB0512">
        <w:t>.</w:t>
      </w:r>
    </w:p>
    <w:p w:rsidR="000462DB" w:rsidRDefault="00102267" w:rsidP="00102267">
      <w:pPr>
        <w:widowControl w:val="0"/>
        <w:ind w:firstLine="709"/>
        <w:jc w:val="both"/>
      </w:pPr>
      <w:r w:rsidRPr="00CB0512">
        <w:rPr>
          <w:i/>
          <w:u w:val="single"/>
        </w:rPr>
        <w:t>Уровень общей безработицы</w:t>
      </w:r>
      <w:r w:rsidRPr="00CB0512">
        <w:t xml:space="preserve"> прогнозируется в пределах от </w:t>
      </w:r>
      <w:r w:rsidR="00923C3F">
        <w:t>5,10</w:t>
      </w:r>
      <w:r w:rsidRPr="00CB0512">
        <w:t xml:space="preserve"> % в 201</w:t>
      </w:r>
      <w:r w:rsidR="00923C3F">
        <w:t>7</w:t>
      </w:r>
      <w:r w:rsidRPr="00CB0512">
        <w:t xml:space="preserve"> году до </w:t>
      </w:r>
      <w:r w:rsidR="00923C3F">
        <w:t>4,41% в 2020</w:t>
      </w:r>
      <w:r w:rsidRPr="00CB0512">
        <w:t xml:space="preserve"> году. </w:t>
      </w:r>
    </w:p>
    <w:p w:rsidR="00102267" w:rsidRPr="00CB0512" w:rsidRDefault="00102267" w:rsidP="00102267">
      <w:pPr>
        <w:widowControl w:val="0"/>
        <w:ind w:firstLine="709"/>
        <w:jc w:val="both"/>
      </w:pPr>
      <w:r w:rsidRPr="00CB0512">
        <w:t xml:space="preserve">При сложившемся на сегодня весьма </w:t>
      </w:r>
      <w:r w:rsidR="008F61FD">
        <w:t>высоком</w:t>
      </w:r>
      <w:r w:rsidRPr="00CB0512">
        <w:t xml:space="preserve"> уровне зарегистрированной безработицы основн</w:t>
      </w:r>
      <w:r w:rsidR="008F61FD">
        <w:t>ой</w:t>
      </w:r>
      <w:r w:rsidRPr="00CB0512">
        <w:t xml:space="preserve"> проблем</w:t>
      </w:r>
      <w:r w:rsidR="008F61FD">
        <w:t>ой</w:t>
      </w:r>
      <w:r w:rsidRPr="00CB0512">
        <w:t xml:space="preserve"> рынка труда оста</w:t>
      </w:r>
      <w:r w:rsidR="008F61FD">
        <w:t>е</w:t>
      </w:r>
      <w:r w:rsidRPr="00CB0512">
        <w:t>тся неудовлетворенный спрос работодателей на рабочую силу. Структура предлагаемых вакансий не всегда соответствует профессионально-квалификационному составу граждан, обратившихся в органы государственной службы занятости населения за содействием в трудоустройстве. Еще одна проблема, которая мешает развитию рынка труда, это ориентация рынка труда на рабочие профессии, в то время</w:t>
      </w:r>
      <w:proofErr w:type="gramStart"/>
      <w:r w:rsidRPr="00CB0512">
        <w:t>,</w:t>
      </w:r>
      <w:proofErr w:type="gramEnd"/>
      <w:r w:rsidRPr="00CB0512">
        <w:t xml:space="preserve"> как рынок образовательных услуг – в основном на профессии служащих.</w:t>
      </w:r>
    </w:p>
    <w:p w:rsidR="00102267" w:rsidRPr="0079420B" w:rsidRDefault="00102267" w:rsidP="00102267">
      <w:pPr>
        <w:widowControl w:val="0"/>
        <w:ind w:firstLine="709"/>
        <w:jc w:val="both"/>
      </w:pPr>
      <w:r w:rsidRPr="003A00AA">
        <w:t>В 201</w:t>
      </w:r>
      <w:r w:rsidR="00811398">
        <w:t>7</w:t>
      </w:r>
      <w:r w:rsidRPr="003A00AA">
        <w:t xml:space="preserve"> году и прогнозном периоде в </w:t>
      </w:r>
      <w:proofErr w:type="spellStart"/>
      <w:r w:rsidR="002147C1" w:rsidRPr="003A00AA">
        <w:t>Кетовском</w:t>
      </w:r>
      <w:proofErr w:type="spellEnd"/>
      <w:r w:rsidR="002147C1" w:rsidRPr="003A00AA">
        <w:t xml:space="preserve"> районе</w:t>
      </w:r>
      <w:r w:rsidRPr="003A00AA">
        <w:t xml:space="preserve"> продолжится регулирование рынка труда </w:t>
      </w:r>
      <w:r w:rsidR="002147C1" w:rsidRPr="003A00AA">
        <w:t>района</w:t>
      </w:r>
      <w:r w:rsidRPr="003A00AA">
        <w:t xml:space="preserve"> в рамках реализации государственной программ</w:t>
      </w:r>
      <w:r w:rsidR="003A00AA" w:rsidRPr="003A00AA">
        <w:t>ы Российской Федерации</w:t>
      </w:r>
      <w:r w:rsidRPr="003A00AA">
        <w:t xml:space="preserve"> </w:t>
      </w:r>
      <w:r w:rsidR="003A00AA" w:rsidRPr="003A00AA">
        <w:t xml:space="preserve">и Курганской области </w:t>
      </w:r>
      <w:r w:rsidRPr="003A00AA">
        <w:t>по содействию занятости населения</w:t>
      </w:r>
      <w:r w:rsidR="003A00AA" w:rsidRPr="003A00AA">
        <w:t xml:space="preserve">, а также </w:t>
      </w:r>
      <w:r w:rsidR="002147C1" w:rsidRPr="003A00AA">
        <w:t>продолжится работа Антикризисного штаба</w:t>
      </w:r>
      <w:r w:rsidR="003A00AA" w:rsidRPr="003A00AA">
        <w:t xml:space="preserve"> созданного при Администрации </w:t>
      </w:r>
      <w:proofErr w:type="spellStart"/>
      <w:r w:rsidR="003A00AA" w:rsidRPr="003A00AA">
        <w:t>Кетовского</w:t>
      </w:r>
      <w:proofErr w:type="spellEnd"/>
      <w:r w:rsidR="003A00AA" w:rsidRPr="003A00AA">
        <w:t xml:space="preserve"> района,</w:t>
      </w:r>
      <w:r w:rsidRPr="003A00AA">
        <w:t xml:space="preserve"> утвержденно</w:t>
      </w:r>
      <w:r w:rsidR="002147C1" w:rsidRPr="003A00AA">
        <w:t>го</w:t>
      </w:r>
      <w:r w:rsidRPr="003A00AA">
        <w:t xml:space="preserve"> постановлением Администрации </w:t>
      </w:r>
      <w:proofErr w:type="spellStart"/>
      <w:r w:rsidR="002147C1" w:rsidRPr="003A00AA">
        <w:t>Кетовского</w:t>
      </w:r>
      <w:proofErr w:type="spellEnd"/>
      <w:r w:rsidR="002147C1" w:rsidRPr="003A00AA">
        <w:t xml:space="preserve"> района</w:t>
      </w:r>
      <w:r w:rsidRPr="0005149B">
        <w:rPr>
          <w:color w:val="FF0000"/>
        </w:rPr>
        <w:t xml:space="preserve"> </w:t>
      </w:r>
      <w:r w:rsidRPr="0079420B">
        <w:t xml:space="preserve">от </w:t>
      </w:r>
      <w:r w:rsidR="0079420B" w:rsidRPr="0079420B">
        <w:t>25</w:t>
      </w:r>
      <w:r w:rsidRPr="0079420B">
        <w:t>.0</w:t>
      </w:r>
      <w:r w:rsidR="0079420B" w:rsidRPr="0079420B">
        <w:t>7</w:t>
      </w:r>
      <w:r w:rsidRPr="0079420B">
        <w:t>.201</w:t>
      </w:r>
      <w:r w:rsidR="0079420B" w:rsidRPr="0079420B">
        <w:t>6</w:t>
      </w:r>
      <w:r w:rsidRPr="0079420B">
        <w:t xml:space="preserve">г. № </w:t>
      </w:r>
      <w:r w:rsidR="0079420B" w:rsidRPr="0079420B">
        <w:t>1753</w:t>
      </w:r>
      <w:r w:rsidRPr="0079420B">
        <w:t>.</w:t>
      </w:r>
    </w:p>
    <w:p w:rsidR="00102267" w:rsidRPr="00D76581" w:rsidRDefault="0079420B" w:rsidP="00102267">
      <w:pPr>
        <w:widowControl w:val="0"/>
        <w:ind w:firstLine="709"/>
        <w:jc w:val="both"/>
        <w:rPr>
          <w:sz w:val="22"/>
        </w:rPr>
      </w:pPr>
      <w:r>
        <w:t>Реализация</w:t>
      </w:r>
      <w:r w:rsidRPr="00F451A4">
        <w:t xml:space="preserve"> мероприятий государственной программы Курганской области «Содействие занятости населения Курганской области</w:t>
      </w:r>
      <w:r w:rsidRPr="00D76581">
        <w:t>»</w:t>
      </w:r>
      <w:r w:rsidR="00102267" w:rsidRPr="00D76581">
        <w:t xml:space="preserve">, содействие добровольному переселению в </w:t>
      </w:r>
      <w:r w:rsidR="00D76581" w:rsidRPr="00D76581">
        <w:t>район</w:t>
      </w:r>
      <w:r w:rsidR="00102267" w:rsidRPr="00D76581">
        <w:t xml:space="preserve"> соотечественников, проживающих за рубежом, обеспечит эффективную занятость и высокий жизненный уровень населения.</w:t>
      </w:r>
    </w:p>
    <w:p w:rsidR="00430E1E" w:rsidRDefault="00430E1E" w:rsidP="00CB0512">
      <w:pPr>
        <w:jc w:val="both"/>
        <w:rPr>
          <w:b/>
          <w:bCs/>
        </w:rPr>
      </w:pPr>
    </w:p>
    <w:p w:rsidR="00CB0512" w:rsidRPr="00553D4D" w:rsidRDefault="00CB0512" w:rsidP="00CB0512">
      <w:pPr>
        <w:jc w:val="both"/>
        <w:rPr>
          <w:b/>
          <w:bCs/>
          <w:color w:val="C00000"/>
        </w:rPr>
      </w:pPr>
      <w:r w:rsidRPr="00553D4D">
        <w:rPr>
          <w:b/>
          <w:bCs/>
          <w:color w:val="C00000"/>
        </w:rPr>
        <w:t>Промышленное производство</w:t>
      </w:r>
    </w:p>
    <w:p w:rsidR="00CB0512" w:rsidRPr="00CB0512" w:rsidRDefault="00CB0512" w:rsidP="00CB0512">
      <w:pPr>
        <w:ind w:firstLine="709"/>
        <w:jc w:val="both"/>
        <w:rPr>
          <w:b/>
          <w:bCs/>
          <w:highlight w:val="yellow"/>
        </w:rPr>
      </w:pPr>
    </w:p>
    <w:p w:rsidR="00CB0512" w:rsidRPr="00CB0512" w:rsidRDefault="003F49D2" w:rsidP="00CB0512">
      <w:pPr>
        <w:ind w:firstLine="709"/>
        <w:jc w:val="both"/>
      </w:pPr>
      <w:r>
        <w:t>Ведущая</w:t>
      </w:r>
      <w:r w:rsidR="00CB0512" w:rsidRPr="00CB0512">
        <w:t xml:space="preserve"> роль в развитии экономики муниципального образования принадлежит промышленному комплексу, который способствует динамичной работе других отраслей народнохозяйственного комплекса </w:t>
      </w:r>
      <w:r>
        <w:t>района</w:t>
      </w:r>
      <w:r w:rsidR="005E2E8D">
        <w:t>.</w:t>
      </w:r>
    </w:p>
    <w:p w:rsidR="00CB0512" w:rsidRPr="00CB0512" w:rsidRDefault="00CB0512" w:rsidP="00CB0512">
      <w:pPr>
        <w:ind w:firstLine="709"/>
        <w:jc w:val="both"/>
      </w:pPr>
      <w:r w:rsidRPr="00CB0512">
        <w:t xml:space="preserve">В среднесрочной перспективе промышленность останется </w:t>
      </w:r>
      <w:r w:rsidR="005E2E8D">
        <w:t xml:space="preserve">одной из </w:t>
      </w:r>
      <w:r w:rsidRPr="00CB0512">
        <w:t>ведущ</w:t>
      </w:r>
      <w:r w:rsidR="005E2E8D">
        <w:t>их</w:t>
      </w:r>
      <w:r w:rsidRPr="00CB0512">
        <w:t xml:space="preserve"> отрасл</w:t>
      </w:r>
      <w:r w:rsidR="005E2E8D">
        <w:t>ей экономики</w:t>
      </w:r>
      <w:proofErr w:type="gramStart"/>
      <w:r w:rsidR="005E2E8D">
        <w:t>.</w:t>
      </w:r>
      <w:r w:rsidRPr="00CB0512">
        <w:t>.</w:t>
      </w:r>
      <w:proofErr w:type="gramEnd"/>
    </w:p>
    <w:p w:rsidR="00CB0512" w:rsidRPr="00CB0512" w:rsidRDefault="00CB0512" w:rsidP="00CB0512">
      <w:pPr>
        <w:spacing w:before="40" w:line="233" w:lineRule="auto"/>
        <w:ind w:firstLine="709"/>
        <w:jc w:val="both"/>
      </w:pPr>
      <w:r w:rsidRPr="00CB0512">
        <w:t xml:space="preserve">Главными задачами обеспечения экономического роста в сфере промышленности являются: </w:t>
      </w:r>
      <w:r w:rsidR="005E2E8D">
        <w:t>достижение</w:t>
      </w:r>
      <w:r w:rsidRPr="00CB0512">
        <w:t xml:space="preserve"> прироста объёмов производства, повышение производительности труда, обеспечение занятости населения </w:t>
      </w:r>
      <w:r w:rsidR="003F49D2">
        <w:t>района</w:t>
      </w:r>
      <w:r w:rsidR="005E2E8D">
        <w:t>.</w:t>
      </w:r>
      <w:r w:rsidRPr="00CB0512">
        <w:t xml:space="preserve"> </w:t>
      </w:r>
    </w:p>
    <w:p w:rsidR="00CB0512" w:rsidRPr="00975EFA" w:rsidRDefault="00CB0512" w:rsidP="00CB0512">
      <w:pPr>
        <w:ind w:firstLine="709"/>
        <w:jc w:val="both"/>
      </w:pPr>
      <w:r w:rsidRPr="00975EFA">
        <w:t xml:space="preserve">Промышленность </w:t>
      </w:r>
      <w:proofErr w:type="spellStart"/>
      <w:r w:rsidR="00550CB2" w:rsidRPr="00975EFA">
        <w:t>Кетовского</w:t>
      </w:r>
      <w:proofErr w:type="spellEnd"/>
      <w:r w:rsidR="00550CB2" w:rsidRPr="00975EFA">
        <w:t xml:space="preserve"> района</w:t>
      </w:r>
      <w:r w:rsidRPr="00975EFA">
        <w:t xml:space="preserve"> представлена </w:t>
      </w:r>
      <w:r w:rsidR="00930CBA" w:rsidRPr="00AB285D">
        <w:rPr>
          <w:color w:val="FF0000"/>
        </w:rPr>
        <w:t>123</w:t>
      </w:r>
      <w:r w:rsidRPr="00AB285D">
        <w:rPr>
          <w:color w:val="FF0000"/>
        </w:rPr>
        <w:t xml:space="preserve"> </w:t>
      </w:r>
      <w:r w:rsidRPr="00975EFA">
        <w:t xml:space="preserve">предприятиями, из них </w:t>
      </w:r>
      <w:r w:rsidR="00975EFA" w:rsidRPr="00AB285D">
        <w:rPr>
          <w:color w:val="FF0000"/>
        </w:rPr>
        <w:t>8</w:t>
      </w:r>
      <w:r w:rsidR="00975EFA" w:rsidRPr="00975EFA">
        <w:t xml:space="preserve"> крупных и средних</w:t>
      </w:r>
      <w:r w:rsidRPr="00975EFA">
        <w:t xml:space="preserve">. </w:t>
      </w:r>
    </w:p>
    <w:p w:rsidR="00CB0512" w:rsidRPr="00CB0512" w:rsidRDefault="00CB0512" w:rsidP="00CB0512">
      <w:pPr>
        <w:ind w:firstLine="709"/>
        <w:jc w:val="both"/>
      </w:pPr>
      <w:r w:rsidRPr="00975EFA">
        <w:lastRenderedPageBreak/>
        <w:t xml:space="preserve">Основу промышленного комплекса составляют предприятия, основными </w:t>
      </w:r>
      <w:proofErr w:type="gramStart"/>
      <w:r w:rsidRPr="00975EFA">
        <w:t>видами</w:t>
      </w:r>
      <w:proofErr w:type="gramEnd"/>
      <w:r w:rsidRPr="00975EFA">
        <w:t xml:space="preserve"> деятельности которых являются добывающие и обрабатывающие производства, а также производство</w:t>
      </w:r>
      <w:r w:rsidRPr="00CB0512">
        <w:t xml:space="preserve"> и распределение электроэнергии, газа и воды.</w:t>
      </w:r>
    </w:p>
    <w:p w:rsidR="00CB0512" w:rsidRPr="00CB0512" w:rsidRDefault="00CB0512" w:rsidP="00CB0512">
      <w:pPr>
        <w:ind w:firstLine="709"/>
        <w:jc w:val="both"/>
      </w:pPr>
      <w:r w:rsidRPr="00CB0512">
        <w:t>Объем промышленной продукции в 201</w:t>
      </w:r>
      <w:r w:rsidR="003C38B5">
        <w:t>6</w:t>
      </w:r>
      <w:r w:rsidRPr="00CB0512">
        <w:t xml:space="preserve"> году  составил – </w:t>
      </w:r>
      <w:r w:rsidR="003C38B5">
        <w:t>1860,2</w:t>
      </w:r>
      <w:r w:rsidRPr="00CB0512">
        <w:t xml:space="preserve"> млн. руб.,  в 201</w:t>
      </w:r>
      <w:r w:rsidR="003C38B5">
        <w:t>7</w:t>
      </w:r>
      <w:r w:rsidRPr="00CB0512">
        <w:t xml:space="preserve"> году ожидается – </w:t>
      </w:r>
      <w:r w:rsidR="003C38B5">
        <w:t>1987,7</w:t>
      </w:r>
      <w:r w:rsidRPr="00CB0512">
        <w:t xml:space="preserve"> млн. руб. </w:t>
      </w:r>
    </w:p>
    <w:p w:rsidR="00CB0512" w:rsidRPr="00CB0512" w:rsidRDefault="00CB0512" w:rsidP="00CB0512">
      <w:pPr>
        <w:ind w:firstLine="709"/>
        <w:jc w:val="both"/>
        <w:rPr>
          <w:szCs w:val="20"/>
        </w:rPr>
      </w:pPr>
      <w:r w:rsidRPr="00CB0512">
        <w:rPr>
          <w:szCs w:val="20"/>
        </w:rPr>
        <w:t>В прогнозируемом периоде 201</w:t>
      </w:r>
      <w:r w:rsidR="003C38B5">
        <w:rPr>
          <w:szCs w:val="20"/>
        </w:rPr>
        <w:t>8-2020</w:t>
      </w:r>
      <w:r w:rsidRPr="00CB0512">
        <w:rPr>
          <w:szCs w:val="20"/>
        </w:rPr>
        <w:t xml:space="preserve"> гг. объем совокупного отгруженного продукта в действующих ценах составит:</w:t>
      </w:r>
    </w:p>
    <w:p w:rsidR="00CB0512" w:rsidRPr="00CB0512" w:rsidRDefault="00CB0512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CB0512">
        <w:rPr>
          <w:szCs w:val="20"/>
        </w:rPr>
        <w:t>в 201</w:t>
      </w:r>
      <w:r w:rsidR="006155BD">
        <w:rPr>
          <w:szCs w:val="20"/>
        </w:rPr>
        <w:t>8</w:t>
      </w:r>
      <w:r w:rsidRPr="00CB0512">
        <w:rPr>
          <w:szCs w:val="20"/>
        </w:rPr>
        <w:t xml:space="preserve"> г. – </w:t>
      </w:r>
      <w:r w:rsidR="006155BD">
        <w:rPr>
          <w:szCs w:val="20"/>
        </w:rPr>
        <w:t>2112,6</w:t>
      </w:r>
      <w:r w:rsidRPr="00CB0512">
        <w:rPr>
          <w:szCs w:val="20"/>
        </w:rPr>
        <w:t xml:space="preserve"> млн</w:t>
      </w:r>
      <w:r w:rsidRPr="00CB0512">
        <w:t>. руб. (102,</w:t>
      </w:r>
      <w:r w:rsidR="006155BD">
        <w:t>2</w:t>
      </w:r>
      <w:r w:rsidRPr="00CB0512">
        <w:t xml:space="preserve"> % к предыдущему году);</w:t>
      </w:r>
    </w:p>
    <w:p w:rsidR="00CB0512" w:rsidRPr="00CB0512" w:rsidRDefault="00CB0512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CB0512">
        <w:rPr>
          <w:szCs w:val="20"/>
        </w:rPr>
        <w:t>в 201</w:t>
      </w:r>
      <w:r w:rsidR="006155BD">
        <w:rPr>
          <w:szCs w:val="20"/>
        </w:rPr>
        <w:t>9</w:t>
      </w:r>
      <w:r w:rsidRPr="00CB0512">
        <w:rPr>
          <w:szCs w:val="20"/>
        </w:rPr>
        <w:t xml:space="preserve"> г. – </w:t>
      </w:r>
      <w:r w:rsidR="006155BD">
        <w:rPr>
          <w:szCs w:val="20"/>
        </w:rPr>
        <w:t>2263,0</w:t>
      </w:r>
      <w:r w:rsidRPr="00CB0512">
        <w:rPr>
          <w:szCs w:val="20"/>
        </w:rPr>
        <w:t xml:space="preserve"> млн</w:t>
      </w:r>
      <w:r w:rsidRPr="00CB0512">
        <w:t>. руб. (</w:t>
      </w:r>
      <w:r w:rsidR="006155BD">
        <w:t>103,2</w:t>
      </w:r>
      <w:r w:rsidRPr="00CB0512">
        <w:t xml:space="preserve"> % к предыдущему году);</w:t>
      </w:r>
    </w:p>
    <w:p w:rsidR="00CB0512" w:rsidRPr="004554DC" w:rsidRDefault="006155BD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>
        <w:rPr>
          <w:szCs w:val="20"/>
        </w:rPr>
        <w:t>в 2020</w:t>
      </w:r>
      <w:r w:rsidR="00CB0512" w:rsidRPr="00CB0512">
        <w:rPr>
          <w:szCs w:val="20"/>
        </w:rPr>
        <w:t xml:space="preserve"> г. – </w:t>
      </w:r>
      <w:r>
        <w:rPr>
          <w:szCs w:val="20"/>
        </w:rPr>
        <w:t>2452,4</w:t>
      </w:r>
      <w:r w:rsidR="00CB0512" w:rsidRPr="00CB0512">
        <w:rPr>
          <w:szCs w:val="20"/>
        </w:rPr>
        <w:t xml:space="preserve"> млн</w:t>
      </w:r>
      <w:r w:rsidR="00CB0512" w:rsidRPr="00CB0512">
        <w:t>. руб. (</w:t>
      </w:r>
      <w:r w:rsidR="00F932C6">
        <w:t>104</w:t>
      </w:r>
      <w:r>
        <w:t>,4</w:t>
      </w:r>
      <w:r w:rsidR="00CB0512" w:rsidRPr="00CB0512">
        <w:t xml:space="preserve"> % к предыдущему году).</w:t>
      </w:r>
    </w:p>
    <w:p w:rsidR="004554DC" w:rsidRDefault="004554DC" w:rsidP="004554DC">
      <w:pPr>
        <w:jc w:val="both"/>
      </w:pPr>
    </w:p>
    <w:p w:rsidR="004554DC" w:rsidRPr="004554DC" w:rsidRDefault="004554DC" w:rsidP="004554DC">
      <w:pPr>
        <w:jc w:val="right"/>
        <w:rPr>
          <w:sz w:val="24"/>
          <w:szCs w:val="24"/>
        </w:rPr>
      </w:pPr>
      <w:r w:rsidRPr="004554DC">
        <w:rPr>
          <w:sz w:val="24"/>
          <w:szCs w:val="24"/>
        </w:rPr>
        <w:t>График 4</w:t>
      </w:r>
    </w:p>
    <w:p w:rsidR="00AF10F6" w:rsidRPr="008C3815" w:rsidRDefault="00E47FB4" w:rsidP="00AF10F6">
      <w:pPr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950585" cy="4717415"/>
            <wp:effectExtent l="1905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10F6" w:rsidRDefault="00AF10F6" w:rsidP="00AF10F6">
      <w:pPr>
        <w:ind w:firstLine="708"/>
        <w:jc w:val="both"/>
        <w:rPr>
          <w:szCs w:val="20"/>
        </w:rPr>
      </w:pPr>
      <w:r w:rsidRPr="008C3815">
        <w:rPr>
          <w:szCs w:val="20"/>
        </w:rPr>
        <w:t>Объемы производства группы «обрабатывающие производства» занимают в структуре промышленного производства наиболь</w:t>
      </w:r>
      <w:r w:rsidR="008847E3">
        <w:rPr>
          <w:szCs w:val="20"/>
        </w:rPr>
        <w:t>ший удельный вес. Их доля в 2016</w:t>
      </w:r>
      <w:r w:rsidR="00DA4C40">
        <w:rPr>
          <w:szCs w:val="20"/>
        </w:rPr>
        <w:t xml:space="preserve"> г. составила 78,1%, в 2017 г. ожидается 80</w:t>
      </w:r>
      <w:r w:rsidRPr="008C3815">
        <w:rPr>
          <w:szCs w:val="20"/>
        </w:rPr>
        <w:t>%</w:t>
      </w:r>
      <w:r w:rsidRPr="008C3815">
        <w:rPr>
          <w:sz w:val="24"/>
          <w:szCs w:val="24"/>
        </w:rPr>
        <w:t>,</w:t>
      </w:r>
      <w:r w:rsidR="00DA4C40">
        <w:rPr>
          <w:szCs w:val="20"/>
        </w:rPr>
        <w:t xml:space="preserve"> в прогнозируемом периоде 2018-2020</w:t>
      </w:r>
      <w:r w:rsidRPr="008C3815">
        <w:rPr>
          <w:szCs w:val="20"/>
        </w:rPr>
        <w:t xml:space="preserve"> гг. доля сохранится на дост</w:t>
      </w:r>
      <w:r w:rsidR="00DA4C40">
        <w:rPr>
          <w:szCs w:val="20"/>
        </w:rPr>
        <w:t>аточно высоком уровне – около 82</w:t>
      </w:r>
      <w:r w:rsidRPr="008C3815">
        <w:rPr>
          <w:szCs w:val="20"/>
        </w:rPr>
        <w:t xml:space="preserve">% от общего объема отгруженных товаров собственного производства.  </w:t>
      </w:r>
    </w:p>
    <w:p w:rsidR="00326162" w:rsidRDefault="00326162" w:rsidP="00C04CD5">
      <w:pPr>
        <w:keepNext/>
        <w:jc w:val="both"/>
        <w:outlineLvl w:val="8"/>
        <w:rPr>
          <w:b/>
          <w:bCs/>
          <w:szCs w:val="20"/>
        </w:rPr>
      </w:pPr>
    </w:p>
    <w:p w:rsidR="00326162" w:rsidRDefault="00326162" w:rsidP="00C04CD5">
      <w:pPr>
        <w:keepNext/>
        <w:jc w:val="both"/>
        <w:outlineLvl w:val="8"/>
        <w:rPr>
          <w:b/>
          <w:bCs/>
          <w:szCs w:val="20"/>
        </w:rPr>
      </w:pPr>
    </w:p>
    <w:p w:rsidR="00326162" w:rsidRDefault="00326162" w:rsidP="00C04CD5">
      <w:pPr>
        <w:keepNext/>
        <w:jc w:val="both"/>
        <w:outlineLvl w:val="8"/>
        <w:rPr>
          <w:b/>
          <w:bCs/>
          <w:szCs w:val="20"/>
        </w:rPr>
      </w:pPr>
    </w:p>
    <w:p w:rsidR="00C04CD5" w:rsidRPr="004009D1" w:rsidRDefault="00C04CD5" w:rsidP="00C04CD5">
      <w:pPr>
        <w:keepNext/>
        <w:jc w:val="both"/>
        <w:outlineLvl w:val="8"/>
        <w:rPr>
          <w:b/>
          <w:bCs/>
          <w:szCs w:val="20"/>
        </w:rPr>
      </w:pPr>
      <w:r w:rsidRPr="004009D1">
        <w:rPr>
          <w:b/>
          <w:bCs/>
          <w:szCs w:val="20"/>
        </w:rPr>
        <w:t>Заработная плата</w:t>
      </w:r>
    </w:p>
    <w:p w:rsidR="00C04CD5" w:rsidRPr="00CB0512" w:rsidRDefault="00C04CD5" w:rsidP="00C04CD5">
      <w:pPr>
        <w:ind w:firstLine="708"/>
        <w:jc w:val="both"/>
        <w:rPr>
          <w:rFonts w:ascii="Helvetica" w:hAnsi="Helvetica" w:cs="Arial"/>
          <w:color w:val="333333"/>
          <w:sz w:val="21"/>
          <w:szCs w:val="21"/>
        </w:rPr>
      </w:pPr>
    </w:p>
    <w:p w:rsidR="00C04CD5" w:rsidRPr="00CB0512" w:rsidRDefault="00C04CD5" w:rsidP="00C04CD5">
      <w:pPr>
        <w:ind w:firstLine="708"/>
        <w:jc w:val="both"/>
      </w:pPr>
      <w:r w:rsidRPr="00CB0512">
        <w:t>В 201</w:t>
      </w:r>
      <w:r w:rsidR="00E81C7B">
        <w:t>7</w:t>
      </w:r>
      <w:r w:rsidRPr="00CB0512">
        <w:t xml:space="preserve"> году, учитывая данные статистической отчетности за первое полугодие и прогнозные показатели, предоставленные предприятиями и организациями </w:t>
      </w:r>
      <w:r w:rsidR="004009D1">
        <w:t>района</w:t>
      </w:r>
      <w:r w:rsidRPr="00CB0512">
        <w:t xml:space="preserve">, </w:t>
      </w:r>
      <w:r w:rsidRPr="00CB0512">
        <w:rPr>
          <w:i/>
          <w:u w:val="single"/>
        </w:rPr>
        <w:t>фонд заработной платы</w:t>
      </w:r>
      <w:r w:rsidRPr="00CB0512">
        <w:t xml:space="preserve"> в реальном секторе экономики по полному кругу организаций по оценке составит </w:t>
      </w:r>
      <w:r w:rsidR="00BC4680">
        <w:t>3286,08</w:t>
      </w:r>
      <w:r w:rsidRPr="00CB0512">
        <w:t xml:space="preserve"> млн</w:t>
      </w:r>
      <w:proofErr w:type="gramStart"/>
      <w:r w:rsidRPr="00CB0512">
        <w:t>.р</w:t>
      </w:r>
      <w:proofErr w:type="gramEnd"/>
      <w:r w:rsidRPr="00CB0512">
        <w:t xml:space="preserve">уб. </w:t>
      </w:r>
      <w:r w:rsidR="004009D1">
        <w:t>рост на</w:t>
      </w:r>
      <w:r w:rsidRPr="00CB0512">
        <w:t xml:space="preserve"> </w:t>
      </w:r>
      <w:r w:rsidR="00BC4680">
        <w:t>3</w:t>
      </w:r>
      <w:r w:rsidRPr="00CB0512">
        <w:t>%  к уровню 201</w:t>
      </w:r>
      <w:r w:rsidR="00BC4680">
        <w:t>6</w:t>
      </w:r>
      <w:r w:rsidRPr="00CB0512">
        <w:t xml:space="preserve"> года. В прогнозном периоде в муниципальном образовании </w:t>
      </w:r>
      <w:proofErr w:type="spellStart"/>
      <w:r w:rsidR="004009D1">
        <w:t>Кетовский</w:t>
      </w:r>
      <w:proofErr w:type="spellEnd"/>
      <w:r w:rsidR="004009D1">
        <w:t xml:space="preserve"> район</w:t>
      </w:r>
      <w:r w:rsidRPr="00CB0512">
        <w:t xml:space="preserve"> сохранится положительная динамика фонда заработной платы: темп роста в 201</w:t>
      </w:r>
      <w:r w:rsidR="00BC4680">
        <w:t xml:space="preserve">8 – 2020 </w:t>
      </w:r>
      <w:r w:rsidRPr="00CB0512">
        <w:t xml:space="preserve">годах составит </w:t>
      </w:r>
      <w:r w:rsidR="00BC4680">
        <w:t>103,4%</w:t>
      </w:r>
      <w:r w:rsidRPr="00CB0512">
        <w:t>.</w:t>
      </w:r>
    </w:p>
    <w:p w:rsidR="00C04CD5" w:rsidRPr="00CB0512" w:rsidRDefault="00E47FB4" w:rsidP="00C04CD5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497205</wp:posOffset>
            </wp:positionV>
            <wp:extent cx="2665095" cy="1995805"/>
            <wp:effectExtent l="19050" t="0" r="1905" b="0"/>
            <wp:wrapSquare wrapText="bothSides"/>
            <wp:docPr id="9" name="Рисунок 14" descr="Описание: \\admfile\ekonom\Лена\восстановление\Для мониторинга\Доходы\к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\\admfile\ekonom\Лена\восстановление\Для мониторинга\Доходы\карт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CD5" w:rsidRPr="00CB0512">
        <w:t>В 201</w:t>
      </w:r>
      <w:r w:rsidR="00EF7ED5">
        <w:t>6</w:t>
      </w:r>
      <w:r w:rsidR="00C04CD5" w:rsidRPr="00CB0512">
        <w:t xml:space="preserve"> году </w:t>
      </w:r>
      <w:r w:rsidR="00C04CD5" w:rsidRPr="00CB0512">
        <w:rPr>
          <w:i/>
          <w:u w:val="single"/>
        </w:rPr>
        <w:t>среднемесячная заработная плата</w:t>
      </w:r>
      <w:r w:rsidR="00C04CD5" w:rsidRPr="00CB0512">
        <w:t xml:space="preserve"> рабочих и служащих по полному кругу предприятий составила </w:t>
      </w:r>
      <w:r w:rsidR="00EF7ED5">
        <w:t>18987,50</w:t>
      </w:r>
      <w:r w:rsidR="00C04CD5" w:rsidRPr="00CB0512">
        <w:t xml:space="preserve"> руб. с темпом роста </w:t>
      </w:r>
      <w:r w:rsidR="003A225C">
        <w:t>101,5</w:t>
      </w:r>
      <w:r w:rsidR="00C04CD5" w:rsidRPr="00CB0512">
        <w:t>% к уровню 201</w:t>
      </w:r>
      <w:r w:rsidR="003A225C">
        <w:t>5</w:t>
      </w:r>
      <w:r w:rsidR="00C04CD5" w:rsidRPr="00CB0512">
        <w:t xml:space="preserve"> года</w:t>
      </w:r>
      <w:r w:rsidR="003A225C">
        <w:t>.</w:t>
      </w:r>
      <w:r w:rsidR="00C04CD5" w:rsidRPr="00CB0512">
        <w:t xml:space="preserve"> </w:t>
      </w:r>
    </w:p>
    <w:p w:rsidR="00C04CD5" w:rsidRPr="00CB0512" w:rsidRDefault="00C04CD5" w:rsidP="00C04CD5">
      <w:pPr>
        <w:ind w:firstLine="708"/>
        <w:jc w:val="both"/>
      </w:pPr>
      <w:r w:rsidRPr="00CB0512">
        <w:t>По предварительным данным, в 201</w:t>
      </w:r>
      <w:r w:rsidR="002A0138">
        <w:t>7</w:t>
      </w:r>
      <w:r w:rsidRPr="00CB0512">
        <w:t xml:space="preserve"> году рост среднемесячной заработной платы по </w:t>
      </w:r>
      <w:r w:rsidR="00241B24">
        <w:t>району</w:t>
      </w:r>
      <w:r w:rsidRPr="00CB0512">
        <w:t xml:space="preserve"> достигнет </w:t>
      </w:r>
      <w:r w:rsidR="002A0138">
        <w:t>103</w:t>
      </w:r>
      <w:r w:rsidRPr="00CB0512">
        <w:t xml:space="preserve">% и составит </w:t>
      </w:r>
      <w:r w:rsidR="002A0138">
        <w:t>19560,0</w:t>
      </w:r>
      <w:r w:rsidRPr="00CB0512">
        <w:t xml:space="preserve"> руб. В прогнозные 201</w:t>
      </w:r>
      <w:r w:rsidR="002A0138">
        <w:t>8-2020</w:t>
      </w:r>
      <w:r w:rsidRPr="00CB0512">
        <w:t xml:space="preserve"> годы, рост данного показателя по сравнению с темпами роста прошлых лет составит </w:t>
      </w:r>
      <w:r w:rsidR="00241B24">
        <w:t xml:space="preserve">от </w:t>
      </w:r>
      <w:r w:rsidRPr="00CB0512">
        <w:t>10</w:t>
      </w:r>
      <w:r w:rsidR="002A0138">
        <w:t>3</w:t>
      </w:r>
      <w:r w:rsidRPr="00CB0512">
        <w:t>%</w:t>
      </w:r>
      <w:r w:rsidR="00241B24">
        <w:t xml:space="preserve"> </w:t>
      </w:r>
      <w:r w:rsidRPr="00CB0512">
        <w:t xml:space="preserve">или </w:t>
      </w:r>
      <w:r w:rsidR="00264C4B">
        <w:t xml:space="preserve">среднемесячная зарплата составит </w:t>
      </w:r>
      <w:r w:rsidR="002A0138">
        <w:t>20150</w:t>
      </w:r>
      <w:r w:rsidRPr="00CB0512">
        <w:t xml:space="preserve"> – </w:t>
      </w:r>
      <w:r w:rsidR="002A0138">
        <w:t>21370</w:t>
      </w:r>
      <w:r w:rsidRPr="00CB0512">
        <w:t xml:space="preserve"> руб.</w:t>
      </w:r>
    </w:p>
    <w:p w:rsidR="00C04CD5" w:rsidRPr="00CB0512" w:rsidRDefault="00C04CD5" w:rsidP="00DD17DF">
      <w:pPr>
        <w:jc w:val="both"/>
      </w:pPr>
      <w:r w:rsidRPr="004658A7">
        <w:rPr>
          <w:i/>
          <w:color w:val="000000" w:themeColor="text1"/>
          <w:u w:val="single"/>
        </w:rPr>
        <w:t>Численность пенсионеров</w:t>
      </w:r>
      <w:r w:rsidRPr="00CB0512">
        <w:t>, состоящих на учете  в системе Пенсионного фонда на 01.01.201</w:t>
      </w:r>
      <w:r w:rsidR="007D70CC">
        <w:t>7</w:t>
      </w:r>
      <w:r w:rsidRPr="00CB0512">
        <w:t xml:space="preserve">, составила </w:t>
      </w:r>
      <w:r w:rsidR="004658A7" w:rsidRPr="004658A7">
        <w:rPr>
          <w:color w:val="000000" w:themeColor="text1"/>
        </w:rPr>
        <w:t>15172</w:t>
      </w:r>
      <w:r w:rsidRPr="004658A7">
        <w:rPr>
          <w:color w:val="000000" w:themeColor="text1"/>
        </w:rPr>
        <w:t xml:space="preserve"> </w:t>
      </w:r>
      <w:r w:rsidRPr="00CB0512">
        <w:t xml:space="preserve">чел., что на </w:t>
      </w:r>
      <w:r w:rsidR="004658A7" w:rsidRPr="004658A7">
        <w:rPr>
          <w:color w:val="000000" w:themeColor="text1"/>
        </w:rPr>
        <w:t>7</w:t>
      </w:r>
      <w:r w:rsidRPr="00CB0512">
        <w:t xml:space="preserve"> чел. больше, чем на 01.01.201</w:t>
      </w:r>
      <w:r w:rsidR="001D14F9">
        <w:t>6</w:t>
      </w:r>
      <w:r w:rsidRPr="00CB0512">
        <w:t xml:space="preserve">.  В </w:t>
      </w:r>
      <w:r w:rsidR="0097484E">
        <w:t>прогнозируемом периоде численность пенсионеров также будет увеличиваться</w:t>
      </w:r>
      <w:r w:rsidRPr="00CB0512">
        <w:t xml:space="preserve">. </w:t>
      </w:r>
    </w:p>
    <w:p w:rsidR="00C04CD5" w:rsidRPr="00CB0512" w:rsidRDefault="00C04CD5" w:rsidP="00C04CD5">
      <w:pPr>
        <w:ind w:firstLine="709"/>
        <w:jc w:val="both"/>
      </w:pPr>
      <w:r w:rsidRPr="00CB0512">
        <w:t xml:space="preserve">Социальные пенсии индексируются ежегодно с учетом темпов роста прожиточного минимума пенсионера в Российской Федерации за прошедший год. </w:t>
      </w:r>
      <w:r w:rsidRPr="00CB0512">
        <w:rPr>
          <w:i/>
          <w:u w:val="single"/>
        </w:rPr>
        <w:t>Средний размер назначенных пенсий</w:t>
      </w:r>
      <w:r w:rsidRPr="00CB0512">
        <w:t xml:space="preserve"> </w:t>
      </w:r>
      <w:r w:rsidR="00BD4638">
        <w:t xml:space="preserve"> </w:t>
      </w:r>
      <w:r w:rsidRPr="00CB0512">
        <w:t xml:space="preserve">пенсионеров, состоящих на учете в отделениях Пенсионного фонда РФ, </w:t>
      </w:r>
      <w:r w:rsidR="0097484E">
        <w:t xml:space="preserve">в </w:t>
      </w:r>
      <w:proofErr w:type="spellStart"/>
      <w:r w:rsidR="001D14F9">
        <w:t>Кетовском</w:t>
      </w:r>
      <w:proofErr w:type="spellEnd"/>
      <w:r w:rsidR="001D14F9">
        <w:t xml:space="preserve"> районе составил в 2017</w:t>
      </w:r>
      <w:r w:rsidR="0097484E">
        <w:t xml:space="preserve"> году </w:t>
      </w:r>
      <w:r w:rsidR="00A43C61" w:rsidRPr="00A43C61">
        <w:rPr>
          <w:color w:val="000000" w:themeColor="text1"/>
        </w:rPr>
        <w:t>8921</w:t>
      </w:r>
      <w:r w:rsidR="0097484E">
        <w:t xml:space="preserve"> руб</w:t>
      </w:r>
      <w:r w:rsidRPr="00CB0512">
        <w:t>.</w:t>
      </w:r>
      <w:r w:rsidR="0097484E">
        <w:t xml:space="preserve">, что на </w:t>
      </w:r>
      <w:r w:rsidR="00A84BBA" w:rsidRPr="00A84BBA">
        <w:rPr>
          <w:color w:val="000000" w:themeColor="text1"/>
        </w:rPr>
        <w:t>3,7</w:t>
      </w:r>
      <w:r w:rsidR="0097484E">
        <w:t xml:space="preserve">% </w:t>
      </w:r>
      <w:proofErr w:type="gramStart"/>
      <w:r w:rsidR="0097484E">
        <w:t>ниже</w:t>
      </w:r>
      <w:proofErr w:type="gramEnd"/>
      <w:r w:rsidR="0097484E">
        <w:t xml:space="preserve"> чем средний размер пенсий по области.</w:t>
      </w:r>
      <w:r w:rsidRPr="00CB0512">
        <w:t xml:space="preserve"> </w:t>
      </w:r>
    </w:p>
    <w:p w:rsidR="00ED2ACD" w:rsidRDefault="00ED2ACD" w:rsidP="00CB0512">
      <w:pPr>
        <w:jc w:val="both"/>
        <w:rPr>
          <w:b/>
          <w:bCs/>
        </w:rPr>
      </w:pPr>
    </w:p>
    <w:p w:rsidR="00CF42C5" w:rsidRDefault="00000E79" w:rsidP="00CB0512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Розничная т</w:t>
      </w:r>
      <w:r w:rsidR="00A35267">
        <w:rPr>
          <w:b/>
          <w:i/>
          <w:u w:val="single"/>
        </w:rPr>
        <w:t>о</w:t>
      </w:r>
      <w:r>
        <w:rPr>
          <w:b/>
          <w:i/>
          <w:u w:val="single"/>
        </w:rPr>
        <w:t>рговля</w:t>
      </w:r>
    </w:p>
    <w:p w:rsidR="00CB0512" w:rsidRPr="00CB0512" w:rsidRDefault="00CB0512" w:rsidP="00CB0512">
      <w:pPr>
        <w:ind w:firstLine="851"/>
        <w:jc w:val="both"/>
      </w:pPr>
      <w:r w:rsidRPr="00CB0512">
        <w:t>По состоянию на 31.12.201</w:t>
      </w:r>
      <w:r w:rsidR="00854B0D">
        <w:t>6</w:t>
      </w:r>
      <w:r w:rsidRPr="00CB0512">
        <w:t xml:space="preserve"> общая площадь торговых объектов составляла </w:t>
      </w:r>
      <w:r w:rsidR="00854B0D">
        <w:t xml:space="preserve">17,6 </w:t>
      </w:r>
      <w:r w:rsidRPr="00CB0512">
        <w:t>тыс. м</w:t>
      </w:r>
      <w:proofErr w:type="gramStart"/>
      <w:r w:rsidRPr="00CB0512">
        <w:rPr>
          <w:vertAlign w:val="superscript"/>
        </w:rPr>
        <w:t>2</w:t>
      </w:r>
      <w:proofErr w:type="gramEnd"/>
      <w:r w:rsidRPr="00CB0512">
        <w:t>, из них:</w:t>
      </w:r>
    </w:p>
    <w:p w:rsidR="00CB0512" w:rsidRPr="00CB0512" w:rsidRDefault="00CB0512" w:rsidP="00CB0512">
      <w:pPr>
        <w:ind w:firstLine="709"/>
        <w:jc w:val="both"/>
      </w:pPr>
      <w:r w:rsidRPr="00CB0512">
        <w:t xml:space="preserve">- продовольственных - </w:t>
      </w:r>
      <w:r w:rsidR="00854B0D">
        <w:t>98 объектов</w:t>
      </w:r>
      <w:r w:rsidRPr="00CB0512">
        <w:t xml:space="preserve">, торговая площадь </w:t>
      </w:r>
      <w:r w:rsidR="00C916FD">
        <w:t>–</w:t>
      </w:r>
      <w:r w:rsidRPr="00CB0512">
        <w:t xml:space="preserve"> </w:t>
      </w:r>
      <w:r w:rsidR="00C916FD">
        <w:t>6,4</w:t>
      </w:r>
      <w:r w:rsidRPr="00CB0512">
        <w:t xml:space="preserve"> тыс. м</w:t>
      </w:r>
      <w:proofErr w:type="gramStart"/>
      <w:r w:rsidRPr="00CB0512">
        <w:rPr>
          <w:vertAlign w:val="superscript"/>
        </w:rPr>
        <w:t>2</w:t>
      </w:r>
      <w:proofErr w:type="gramEnd"/>
      <w:r w:rsidRPr="00CB0512">
        <w:t>.,</w:t>
      </w:r>
    </w:p>
    <w:p w:rsidR="00CB0512" w:rsidRPr="00CB0512" w:rsidRDefault="00CB0512" w:rsidP="00CB0512">
      <w:pPr>
        <w:ind w:firstLine="709"/>
        <w:jc w:val="both"/>
      </w:pPr>
      <w:r w:rsidRPr="00CB0512">
        <w:t xml:space="preserve">- непродовольственных – </w:t>
      </w:r>
      <w:r w:rsidR="00C916FD">
        <w:t>93</w:t>
      </w:r>
      <w:r w:rsidRPr="00CB0512">
        <w:t xml:space="preserve"> объекта, торговая площадь – </w:t>
      </w:r>
      <w:r w:rsidR="00854B0D">
        <w:t>9,4</w:t>
      </w:r>
      <w:r w:rsidRPr="00CB0512">
        <w:t xml:space="preserve"> тыс. м</w:t>
      </w:r>
      <w:proofErr w:type="gramStart"/>
      <w:r w:rsidRPr="00CB0512">
        <w:rPr>
          <w:vertAlign w:val="superscript"/>
        </w:rPr>
        <w:t>2</w:t>
      </w:r>
      <w:proofErr w:type="gramEnd"/>
      <w:r w:rsidRPr="00CB0512">
        <w:t>.,</w:t>
      </w:r>
    </w:p>
    <w:p w:rsidR="00CB0512" w:rsidRPr="00CB0512" w:rsidRDefault="00CB0512" w:rsidP="00CB0512">
      <w:pPr>
        <w:ind w:firstLine="709"/>
        <w:jc w:val="both"/>
      </w:pPr>
      <w:r w:rsidRPr="00CB0512">
        <w:t xml:space="preserve">- смешанных – </w:t>
      </w:r>
      <w:r w:rsidR="00854B0D">
        <w:t>71</w:t>
      </w:r>
      <w:r w:rsidRPr="00CB0512">
        <w:t xml:space="preserve"> объектов, торговая площадь – </w:t>
      </w:r>
      <w:r w:rsidR="00854B0D">
        <w:t>1,8</w:t>
      </w:r>
      <w:r w:rsidRPr="00CB0512">
        <w:t xml:space="preserve"> тыс. м</w:t>
      </w:r>
      <w:proofErr w:type="gramStart"/>
      <w:r w:rsidRPr="00CB0512">
        <w:rPr>
          <w:vertAlign w:val="superscript"/>
        </w:rPr>
        <w:t>2</w:t>
      </w:r>
      <w:proofErr w:type="gramEnd"/>
      <w:r w:rsidRPr="00CB0512">
        <w:t>.</w:t>
      </w:r>
    </w:p>
    <w:p w:rsidR="00CB0512" w:rsidRPr="00CB0512" w:rsidRDefault="00CB0512" w:rsidP="00CB0512">
      <w:pPr>
        <w:ind w:firstLine="851"/>
        <w:jc w:val="both"/>
      </w:pPr>
      <w:r w:rsidRPr="00CB0512">
        <w:t xml:space="preserve">Обеспеченность населения </w:t>
      </w:r>
      <w:r w:rsidR="00C916FD">
        <w:t>района</w:t>
      </w:r>
      <w:r w:rsidRPr="00CB0512">
        <w:t xml:space="preserve"> площадями торговых объектов составляет </w:t>
      </w:r>
      <w:r w:rsidR="004B2503">
        <w:t>лишь 94,4</w:t>
      </w:r>
      <w:r w:rsidRPr="00CB0512">
        <w:t xml:space="preserve"> %. На 1000 жителей приходится </w:t>
      </w:r>
      <w:r w:rsidR="004B2503" w:rsidRPr="004B2503">
        <w:t>285,6</w:t>
      </w:r>
      <w:r w:rsidR="004B2503">
        <w:rPr>
          <w:sz w:val="24"/>
          <w:szCs w:val="24"/>
        </w:rPr>
        <w:t xml:space="preserve"> </w:t>
      </w:r>
      <w:r w:rsidRPr="00CB0512">
        <w:t xml:space="preserve"> кв. метров (при норме </w:t>
      </w:r>
      <w:r w:rsidR="00A30887" w:rsidRPr="00A30887">
        <w:t>302,7</w:t>
      </w:r>
      <w:r w:rsidR="00A30887" w:rsidRPr="0067594D">
        <w:rPr>
          <w:sz w:val="24"/>
          <w:szCs w:val="24"/>
        </w:rPr>
        <w:t xml:space="preserve"> </w:t>
      </w:r>
      <w:r w:rsidRPr="00CB0512">
        <w:t xml:space="preserve">кв. метров). </w:t>
      </w:r>
    </w:p>
    <w:p w:rsidR="008752EC" w:rsidRPr="008752EC" w:rsidRDefault="008752EC" w:rsidP="008752EC">
      <w:pPr>
        <w:ind w:firstLine="851"/>
        <w:jc w:val="both"/>
      </w:pPr>
      <w:r w:rsidRPr="008752EC">
        <w:lastRenderedPageBreak/>
        <w:t xml:space="preserve">В 2016 году </w:t>
      </w:r>
      <w:r w:rsidRPr="008752EC">
        <w:rPr>
          <w:i/>
          <w:u w:val="single"/>
        </w:rPr>
        <w:t>розничный товарооборот</w:t>
      </w:r>
      <w:r w:rsidRPr="008752EC">
        <w:t xml:space="preserve"> составлял 3095,3 млн.</w:t>
      </w:r>
      <w:r w:rsidR="00E95866">
        <w:t xml:space="preserve"> руб</w:t>
      </w:r>
      <w:r w:rsidR="00E9652C">
        <w:t>.</w:t>
      </w:r>
      <w:r w:rsidRPr="008752EC">
        <w:t xml:space="preserve"> или 93,0% к уровню 2015 года (с учётом индекса дефлятора 107,7</w:t>
      </w:r>
      <w:r w:rsidR="00E95866">
        <w:t>)</w:t>
      </w:r>
      <w:r w:rsidRPr="008752EC">
        <w:t>. По оценке в 2017 году розничный товарооборот составит 3163,4 млн.</w:t>
      </w:r>
      <w:r w:rsidR="00E95866">
        <w:t xml:space="preserve"> руб</w:t>
      </w:r>
      <w:r w:rsidR="00E9652C">
        <w:t>.</w:t>
      </w:r>
      <w:r w:rsidRPr="008752EC">
        <w:t xml:space="preserve"> или 98,1% к уровню 2016 года (с учётом индекса дефлятора 104,1).</w:t>
      </w:r>
    </w:p>
    <w:p w:rsidR="008752EC" w:rsidRPr="008752EC" w:rsidRDefault="008752EC" w:rsidP="008752EC">
      <w:pPr>
        <w:ind w:firstLine="851"/>
        <w:jc w:val="both"/>
      </w:pPr>
      <w:r w:rsidRPr="008752EC">
        <w:t>При разработке прогноза основополагающей в расчете данного показателя стала, прежде всего, нестабильная экономическая ситуация в стране. Медленный рост доходов населения и рост инфляции приведет к снижению покупательного спроса населения и, как следствие, к замедлению темпов роста товарооборота, и все же, согласно прогнозным данным предприятий – динамика оборота торговли останется положительной.</w:t>
      </w:r>
    </w:p>
    <w:p w:rsidR="008752EC" w:rsidRPr="008752EC" w:rsidRDefault="008752EC" w:rsidP="008752EC">
      <w:pPr>
        <w:ind w:firstLine="851"/>
        <w:jc w:val="both"/>
      </w:pPr>
      <w:r w:rsidRPr="008752EC">
        <w:t xml:space="preserve">Прогнозируемые темпы роста оборота розничной торговли на период 2018-2020 годы составляют 100,0-102,2%% (с учётом индексов дефляторов  104,1-103,8), или 3293,14 – 3554,9,0 млн. руб. соответственно. </w:t>
      </w:r>
    </w:p>
    <w:p w:rsidR="00CB0512" w:rsidRPr="00CB0512" w:rsidRDefault="00CB0512" w:rsidP="00CB0512">
      <w:pPr>
        <w:ind w:firstLine="851"/>
        <w:jc w:val="both"/>
      </w:pPr>
      <w:r w:rsidRPr="00CB0512">
        <w:t xml:space="preserve">В прогнозном периоде на развитие потребительского рынка товаров и услуг по-прежнему основное влияние будут оказывать инфляционные процессы, реальные денежные доходы населения, а также замедление роста потребительского кредитования. </w:t>
      </w:r>
    </w:p>
    <w:p w:rsidR="00CB0512" w:rsidRPr="00CB0512" w:rsidRDefault="00CB0512" w:rsidP="00CB0512">
      <w:pPr>
        <w:ind w:firstLine="851"/>
        <w:jc w:val="right"/>
        <w:rPr>
          <w:sz w:val="24"/>
          <w:szCs w:val="24"/>
        </w:rPr>
      </w:pPr>
      <w:r w:rsidRPr="00CB0512">
        <w:rPr>
          <w:sz w:val="24"/>
          <w:szCs w:val="24"/>
        </w:rPr>
        <w:t xml:space="preserve">График </w:t>
      </w:r>
      <w:r w:rsidR="0025020F">
        <w:rPr>
          <w:sz w:val="24"/>
          <w:szCs w:val="24"/>
        </w:rPr>
        <w:t>5</w:t>
      </w:r>
    </w:p>
    <w:p w:rsidR="00CB0512" w:rsidRPr="00CB0512" w:rsidRDefault="00CB0512" w:rsidP="00CB0512">
      <w:pPr>
        <w:ind w:firstLine="851"/>
        <w:jc w:val="right"/>
        <w:rPr>
          <w:sz w:val="24"/>
          <w:szCs w:val="24"/>
        </w:rPr>
      </w:pPr>
    </w:p>
    <w:p w:rsidR="00427545" w:rsidRDefault="00E47FB4" w:rsidP="00427545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979795" cy="33020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0512" w:rsidRPr="00CB0512" w:rsidRDefault="00CB0512" w:rsidP="00CB0512">
      <w:pPr>
        <w:spacing w:line="228" w:lineRule="auto"/>
        <w:ind w:firstLine="709"/>
        <w:jc w:val="both"/>
        <w:rPr>
          <w:bCs/>
          <w:highlight w:val="yellow"/>
        </w:rPr>
      </w:pPr>
    </w:p>
    <w:p w:rsidR="00615D32" w:rsidRDefault="00615D32" w:rsidP="00615D32">
      <w:pPr>
        <w:ind w:firstLine="709"/>
        <w:jc w:val="center"/>
        <w:rPr>
          <w:b/>
        </w:rPr>
      </w:pPr>
    </w:p>
    <w:p w:rsidR="00615D32" w:rsidRDefault="00615D32" w:rsidP="00615D32">
      <w:pPr>
        <w:ind w:firstLine="709"/>
        <w:jc w:val="center"/>
        <w:rPr>
          <w:b/>
        </w:rPr>
      </w:pPr>
      <w:r>
        <w:rPr>
          <w:b/>
        </w:rPr>
        <w:t xml:space="preserve">Инвестиции </w:t>
      </w:r>
    </w:p>
    <w:p w:rsidR="00615D32" w:rsidRPr="00615D32" w:rsidRDefault="00615D32" w:rsidP="00615D32">
      <w:pPr>
        <w:ind w:firstLine="709"/>
        <w:jc w:val="center"/>
        <w:rPr>
          <w:b/>
        </w:rPr>
      </w:pPr>
    </w:p>
    <w:p w:rsidR="00CB0512" w:rsidRPr="00CB0512" w:rsidRDefault="00CB0512" w:rsidP="00CB0512">
      <w:pPr>
        <w:ind w:firstLine="709"/>
        <w:jc w:val="both"/>
      </w:pPr>
      <w:proofErr w:type="gramStart"/>
      <w:r w:rsidRPr="00CB0512">
        <w:t xml:space="preserve">В экономику </w:t>
      </w:r>
      <w:r w:rsidR="008879AB">
        <w:t>района</w:t>
      </w:r>
      <w:r w:rsidRPr="00CB0512">
        <w:t xml:space="preserve"> за 201</w:t>
      </w:r>
      <w:r w:rsidR="00803282">
        <w:t>6</w:t>
      </w:r>
      <w:r w:rsidRPr="00CB0512">
        <w:t xml:space="preserve"> год было инвестировано </w:t>
      </w:r>
      <w:r w:rsidR="00803282">
        <w:t>1260,8</w:t>
      </w:r>
      <w:r w:rsidR="000F67B2">
        <w:t xml:space="preserve"> млн. руб.</w:t>
      </w:r>
      <w:r w:rsidRPr="00CB0512">
        <w:t xml:space="preserve"> По оценке, объем инвестиций в основой капитал за счет всех источников финансирования в 201</w:t>
      </w:r>
      <w:r w:rsidR="004C2D16">
        <w:t>7</w:t>
      </w:r>
      <w:r w:rsidRPr="00CB0512">
        <w:t xml:space="preserve"> году составит </w:t>
      </w:r>
      <w:r w:rsidR="004C2D16">
        <w:t>1300,0</w:t>
      </w:r>
      <w:r w:rsidRPr="00CB0512">
        <w:t xml:space="preserve"> млн.</w:t>
      </w:r>
      <w:r w:rsidR="004C2D16">
        <w:t xml:space="preserve"> </w:t>
      </w:r>
      <w:r w:rsidRPr="00CB0512">
        <w:t xml:space="preserve">руб. В прогнозном периоде планируется направить в основной капитал </w:t>
      </w:r>
      <w:r w:rsidR="004C2D16">
        <w:t>1400,3</w:t>
      </w:r>
      <w:r w:rsidRPr="00CB0512">
        <w:t xml:space="preserve"> млн.</w:t>
      </w:r>
      <w:r w:rsidR="00733533">
        <w:t xml:space="preserve"> </w:t>
      </w:r>
      <w:r w:rsidRPr="00CB0512">
        <w:t>руб. в 201</w:t>
      </w:r>
      <w:r w:rsidR="004C2D16">
        <w:t>8</w:t>
      </w:r>
      <w:r w:rsidRPr="00CB0512">
        <w:t xml:space="preserve"> г., </w:t>
      </w:r>
      <w:r w:rsidR="004C2D16">
        <w:t>1500,0</w:t>
      </w:r>
      <w:r w:rsidRPr="00CB0512">
        <w:t xml:space="preserve"> млн.</w:t>
      </w:r>
      <w:r w:rsidR="00733533">
        <w:t xml:space="preserve"> </w:t>
      </w:r>
      <w:r w:rsidRPr="00CB0512">
        <w:t>руб. в 201</w:t>
      </w:r>
      <w:r w:rsidR="004C2D16">
        <w:t>9</w:t>
      </w:r>
      <w:r w:rsidRPr="00CB0512">
        <w:t xml:space="preserve"> г. и </w:t>
      </w:r>
      <w:r w:rsidR="004C2D16">
        <w:t>1600,0 млн. руб. – в 2020</w:t>
      </w:r>
      <w:r w:rsidRPr="00CB0512">
        <w:t xml:space="preserve"> г. </w:t>
      </w:r>
      <w:proofErr w:type="gramEnd"/>
    </w:p>
    <w:p w:rsidR="00326162" w:rsidRDefault="00326162" w:rsidP="00CB0512">
      <w:pPr>
        <w:ind w:firstLine="709"/>
        <w:jc w:val="right"/>
        <w:rPr>
          <w:sz w:val="24"/>
          <w:szCs w:val="24"/>
        </w:rPr>
      </w:pPr>
    </w:p>
    <w:p w:rsidR="00326162" w:rsidRDefault="00326162" w:rsidP="00CB0512">
      <w:pPr>
        <w:ind w:firstLine="709"/>
        <w:jc w:val="right"/>
        <w:rPr>
          <w:sz w:val="24"/>
          <w:szCs w:val="24"/>
        </w:rPr>
      </w:pPr>
    </w:p>
    <w:p w:rsidR="00430E1E" w:rsidRPr="00CB0512" w:rsidRDefault="00CB0512" w:rsidP="00CB0512">
      <w:pPr>
        <w:ind w:firstLine="709"/>
        <w:jc w:val="right"/>
        <w:rPr>
          <w:sz w:val="24"/>
          <w:szCs w:val="24"/>
        </w:rPr>
      </w:pPr>
      <w:r w:rsidRPr="00CB0512">
        <w:rPr>
          <w:sz w:val="24"/>
          <w:szCs w:val="24"/>
        </w:rPr>
        <w:lastRenderedPageBreak/>
        <w:t xml:space="preserve">  График 6</w:t>
      </w:r>
    </w:p>
    <w:p w:rsidR="00CB0512" w:rsidRPr="00CB0512" w:rsidRDefault="00CB0512" w:rsidP="00CB0512">
      <w:pPr>
        <w:ind w:firstLine="709"/>
        <w:jc w:val="center"/>
        <w:rPr>
          <w:b/>
        </w:rPr>
      </w:pPr>
      <w:r w:rsidRPr="00CB0512">
        <w:rPr>
          <w:b/>
        </w:rPr>
        <w:t>Инвестиции в основной капитал</w:t>
      </w:r>
    </w:p>
    <w:p w:rsidR="00427545" w:rsidRPr="002151D9" w:rsidRDefault="00430E1E" w:rsidP="00427545">
      <w:pPr>
        <w:jc w:val="both"/>
      </w:pPr>
      <w:r>
        <w:tab/>
      </w:r>
      <w:r w:rsidR="00E47FB4">
        <w:rPr>
          <w:noProof/>
        </w:rPr>
        <w:drawing>
          <wp:inline distT="0" distB="0" distL="0" distR="0">
            <wp:extent cx="6204585" cy="272859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F251F" w:rsidRPr="00CB0512">
        <w:t xml:space="preserve"> </w:t>
      </w:r>
      <w:r w:rsidR="00723C4B">
        <w:tab/>
      </w:r>
    </w:p>
    <w:p w:rsidR="00CB0512" w:rsidRPr="00CB0512" w:rsidRDefault="00CB0512" w:rsidP="00CB0512">
      <w:pPr>
        <w:ind w:firstLine="1276"/>
        <w:jc w:val="right"/>
        <w:rPr>
          <w:sz w:val="24"/>
          <w:szCs w:val="24"/>
        </w:rPr>
      </w:pPr>
      <w:r w:rsidRPr="00CB0512">
        <w:rPr>
          <w:sz w:val="24"/>
          <w:szCs w:val="24"/>
        </w:rPr>
        <w:t xml:space="preserve">Таблица </w:t>
      </w:r>
      <w:r w:rsidR="00730C51">
        <w:rPr>
          <w:sz w:val="24"/>
          <w:szCs w:val="24"/>
        </w:rPr>
        <w:t>2</w:t>
      </w:r>
    </w:p>
    <w:p w:rsidR="00CB0512" w:rsidRPr="00CB0512" w:rsidRDefault="00CB0512" w:rsidP="00CB0512">
      <w:pPr>
        <w:ind w:right="-1"/>
        <w:jc w:val="center"/>
        <w:rPr>
          <w:b/>
          <w:i/>
          <w:sz w:val="27"/>
          <w:szCs w:val="27"/>
        </w:rPr>
      </w:pPr>
      <w:r w:rsidRPr="00CB0512">
        <w:rPr>
          <w:b/>
          <w:sz w:val="27"/>
          <w:szCs w:val="27"/>
        </w:rPr>
        <w:t xml:space="preserve">Структура инвестиций в развитие </w:t>
      </w:r>
      <w:r w:rsidR="00730C51">
        <w:rPr>
          <w:b/>
          <w:sz w:val="27"/>
          <w:szCs w:val="27"/>
        </w:rPr>
        <w:t>района.</w:t>
      </w:r>
    </w:p>
    <w:p w:rsidR="00CB0512" w:rsidRPr="00CB0512" w:rsidRDefault="00CB0512" w:rsidP="00CB0512">
      <w:pPr>
        <w:ind w:firstLine="1134"/>
        <w:jc w:val="right"/>
        <w:rPr>
          <w:sz w:val="22"/>
          <w:szCs w:val="22"/>
        </w:rPr>
      </w:pPr>
      <w:r w:rsidRPr="00CB0512">
        <w:rPr>
          <w:sz w:val="22"/>
          <w:szCs w:val="22"/>
        </w:rPr>
        <w:t>(млн</w:t>
      </w:r>
      <w:proofErr w:type="gramStart"/>
      <w:r w:rsidRPr="00CB0512">
        <w:rPr>
          <w:sz w:val="22"/>
          <w:szCs w:val="22"/>
        </w:rPr>
        <w:t>.р</w:t>
      </w:r>
      <w:proofErr w:type="gramEnd"/>
      <w:r w:rsidRPr="00CB0512">
        <w:rPr>
          <w:sz w:val="22"/>
          <w:szCs w:val="22"/>
        </w:rPr>
        <w:t>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6"/>
        <w:gridCol w:w="1276"/>
        <w:gridCol w:w="1276"/>
        <w:gridCol w:w="1134"/>
        <w:gridCol w:w="1134"/>
        <w:gridCol w:w="1134"/>
      </w:tblGrid>
      <w:tr w:rsidR="00434F10" w:rsidRPr="00CB0512" w:rsidTr="00434F10">
        <w:trPr>
          <w:trHeight w:val="5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434F10" w:rsidP="00CB0512">
            <w:pPr>
              <w:jc w:val="both"/>
            </w:pPr>
            <w:r w:rsidRPr="00CB0512">
              <w:t>Наименование отраслей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0" w:rsidRDefault="00204E7D" w:rsidP="00CB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434F10">
              <w:rPr>
                <w:b/>
                <w:sz w:val="24"/>
                <w:szCs w:val="24"/>
              </w:rPr>
              <w:t xml:space="preserve"> г.</w:t>
            </w:r>
          </w:p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201</w:t>
            </w:r>
            <w:r w:rsidR="00204E7D">
              <w:rPr>
                <w:b/>
                <w:sz w:val="24"/>
                <w:szCs w:val="24"/>
              </w:rPr>
              <w:t>6</w:t>
            </w:r>
            <w:r w:rsidRPr="00CB0512">
              <w:rPr>
                <w:b/>
                <w:sz w:val="24"/>
                <w:szCs w:val="24"/>
              </w:rPr>
              <w:t xml:space="preserve"> г.</w:t>
            </w:r>
          </w:p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201</w:t>
            </w:r>
            <w:r w:rsidR="00204E7D">
              <w:rPr>
                <w:b/>
                <w:sz w:val="24"/>
                <w:szCs w:val="24"/>
              </w:rPr>
              <w:t>7</w:t>
            </w:r>
            <w:r w:rsidRPr="00CB0512">
              <w:rPr>
                <w:b/>
                <w:sz w:val="24"/>
                <w:szCs w:val="24"/>
              </w:rPr>
              <w:t xml:space="preserve"> г.</w:t>
            </w:r>
          </w:p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201</w:t>
            </w:r>
            <w:r w:rsidR="00204E7D">
              <w:rPr>
                <w:b/>
                <w:sz w:val="24"/>
                <w:szCs w:val="24"/>
              </w:rPr>
              <w:t>8</w:t>
            </w:r>
            <w:r w:rsidRPr="00CB0512">
              <w:rPr>
                <w:b/>
                <w:sz w:val="24"/>
                <w:szCs w:val="24"/>
              </w:rPr>
              <w:t xml:space="preserve"> г.</w:t>
            </w:r>
          </w:p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201</w:t>
            </w:r>
            <w:r w:rsidR="00204E7D">
              <w:rPr>
                <w:b/>
                <w:sz w:val="24"/>
                <w:szCs w:val="24"/>
              </w:rPr>
              <w:t>9</w:t>
            </w:r>
            <w:r w:rsidRPr="00CB0512">
              <w:rPr>
                <w:b/>
                <w:sz w:val="24"/>
                <w:szCs w:val="24"/>
              </w:rPr>
              <w:t xml:space="preserve"> г.</w:t>
            </w:r>
          </w:p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204E7D" w:rsidP="00CB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434F10" w:rsidRPr="00CB0512">
              <w:rPr>
                <w:b/>
                <w:sz w:val="24"/>
                <w:szCs w:val="24"/>
              </w:rPr>
              <w:t xml:space="preserve"> г.</w:t>
            </w:r>
          </w:p>
          <w:p w:rsidR="00434F10" w:rsidRPr="00CB0512" w:rsidRDefault="00434F10" w:rsidP="00CB0512">
            <w:pPr>
              <w:jc w:val="center"/>
              <w:rPr>
                <w:b/>
                <w:sz w:val="24"/>
                <w:szCs w:val="24"/>
              </w:rPr>
            </w:pPr>
            <w:r w:rsidRPr="00CB0512">
              <w:rPr>
                <w:b/>
                <w:sz w:val="24"/>
                <w:szCs w:val="24"/>
              </w:rPr>
              <w:t>прогноз</w:t>
            </w:r>
          </w:p>
        </w:tc>
      </w:tr>
      <w:tr w:rsidR="00434F10" w:rsidRPr="00CB0512" w:rsidTr="00434F10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434F10" w:rsidP="001018B7">
            <w:pPr>
              <w:jc w:val="both"/>
              <w:rPr>
                <w:b/>
              </w:rPr>
            </w:pPr>
            <w:r w:rsidRPr="00CB0512">
              <w:rPr>
                <w:b/>
              </w:rPr>
              <w:t>Инвестиции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4" w:rsidRDefault="007B5334" w:rsidP="00CB0512">
            <w:pPr>
              <w:jc w:val="center"/>
              <w:rPr>
                <w:b/>
                <w:sz w:val="24"/>
                <w:szCs w:val="24"/>
              </w:rPr>
            </w:pPr>
          </w:p>
          <w:p w:rsidR="00434F10" w:rsidRDefault="00204E7D" w:rsidP="00CB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204E7D" w:rsidP="00CB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204E7D" w:rsidP="00CB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204E7D" w:rsidP="00CB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1400,3</w:t>
            </w:r>
            <w:r w:rsidR="00434F10" w:rsidRPr="00CB051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204E7D" w:rsidP="00CB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  <w:r w:rsidR="00434F10" w:rsidRPr="00CB051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204E7D" w:rsidP="00CB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1600,0</w:t>
            </w:r>
            <w:r w:rsidR="00434F10" w:rsidRPr="00CB0512">
              <w:rPr>
                <w:b/>
                <w:sz w:val="24"/>
                <w:szCs w:val="24"/>
              </w:rPr>
              <w:t>*</w:t>
            </w:r>
          </w:p>
        </w:tc>
      </w:tr>
      <w:tr w:rsidR="00434F10" w:rsidRPr="00CB0512" w:rsidTr="00434F10">
        <w:trPr>
          <w:trHeight w:val="1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434F10" w:rsidP="00CB0512">
            <w:pPr>
              <w:jc w:val="both"/>
            </w:pPr>
            <w:r w:rsidRPr="00CB0512">
              <w:t>в том 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0" w:rsidRPr="00CB0512" w:rsidRDefault="00434F10" w:rsidP="00CB0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0" w:rsidRPr="00CB0512" w:rsidRDefault="00434F10" w:rsidP="00CB0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0" w:rsidRPr="00CB0512" w:rsidRDefault="00434F10" w:rsidP="00CB0512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0" w:rsidRPr="00CB0512" w:rsidRDefault="00434F10" w:rsidP="00CB0512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0" w:rsidRPr="00CB0512" w:rsidRDefault="00434F10" w:rsidP="00CB0512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0" w:rsidRPr="00CB0512" w:rsidRDefault="00434F10" w:rsidP="00CB0512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34F10" w:rsidRPr="00CB0512" w:rsidTr="00434F10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434F10" w:rsidP="00CB0512">
            <w:pPr>
              <w:jc w:val="both"/>
            </w:pPr>
            <w:r w:rsidRPr="00CB0512">
              <w:t>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4" w:rsidRDefault="007B5334" w:rsidP="00CB0512">
            <w:pPr>
              <w:jc w:val="center"/>
              <w:rPr>
                <w:sz w:val="24"/>
                <w:szCs w:val="24"/>
              </w:rPr>
            </w:pPr>
          </w:p>
          <w:p w:rsidR="00434F10" w:rsidRDefault="0074798A" w:rsidP="00CB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74798A" w:rsidP="00CB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733533" w:rsidRDefault="00982939" w:rsidP="00CB05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533">
              <w:rPr>
                <w:color w:val="000000" w:themeColor="text1"/>
                <w:sz w:val="24"/>
                <w:szCs w:val="24"/>
              </w:rPr>
              <w:t>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733533" w:rsidRDefault="00982939" w:rsidP="00CB05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533">
              <w:rPr>
                <w:color w:val="000000" w:themeColor="text1"/>
                <w:sz w:val="24"/>
                <w:szCs w:val="24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733533" w:rsidRDefault="00982939" w:rsidP="00CB05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533">
              <w:rPr>
                <w:color w:val="000000" w:themeColor="text1"/>
                <w:sz w:val="24"/>
                <w:szCs w:val="24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733533" w:rsidRDefault="00982939" w:rsidP="00CB05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533">
              <w:rPr>
                <w:color w:val="000000" w:themeColor="text1"/>
                <w:sz w:val="24"/>
                <w:szCs w:val="24"/>
              </w:rPr>
              <w:t>523,2</w:t>
            </w:r>
          </w:p>
        </w:tc>
      </w:tr>
      <w:tr w:rsidR="00434F10" w:rsidRPr="00CB0512" w:rsidTr="00434F10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434F10" w:rsidP="00475C3F">
            <w:pPr>
              <w:jc w:val="both"/>
              <w:rPr>
                <w:i/>
                <w:color w:val="0000FF"/>
                <w:sz w:val="22"/>
                <w:szCs w:val="22"/>
              </w:rPr>
            </w:pPr>
            <w:r w:rsidRPr="00CB0512">
              <w:rPr>
                <w:i/>
                <w:color w:val="0000FF"/>
                <w:sz w:val="22"/>
                <w:szCs w:val="22"/>
              </w:rPr>
              <w:t xml:space="preserve">% от общего объема инвестиций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34" w:rsidRDefault="007B5334" w:rsidP="00CB0512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  <w:p w:rsidR="00434F10" w:rsidRDefault="00A30825" w:rsidP="00CB0512">
            <w:pPr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A30825" w:rsidP="00CB0512">
            <w:pPr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982939" w:rsidP="00CB0512">
            <w:pPr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982939" w:rsidP="00CB0512">
            <w:pPr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982939" w:rsidP="00CB0512">
            <w:pPr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10" w:rsidRPr="00CB0512" w:rsidRDefault="00982939" w:rsidP="00CB0512">
            <w:pPr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32,7</w:t>
            </w:r>
          </w:p>
        </w:tc>
      </w:tr>
    </w:tbl>
    <w:p w:rsidR="00CB0512" w:rsidRDefault="00CB0512" w:rsidP="00CB0512">
      <w:pPr>
        <w:rPr>
          <w:sz w:val="24"/>
          <w:szCs w:val="24"/>
        </w:rPr>
      </w:pPr>
      <w:r w:rsidRPr="00CB0512">
        <w:rPr>
          <w:sz w:val="22"/>
          <w:szCs w:val="32"/>
        </w:rPr>
        <w:t xml:space="preserve">* Данные будут уточнены после утверждения </w:t>
      </w:r>
      <w:r w:rsidR="00F449CD">
        <w:rPr>
          <w:sz w:val="22"/>
          <w:szCs w:val="32"/>
        </w:rPr>
        <w:t>районного</w:t>
      </w:r>
      <w:r w:rsidRPr="00CB0512">
        <w:rPr>
          <w:sz w:val="22"/>
          <w:szCs w:val="32"/>
        </w:rPr>
        <w:t xml:space="preserve"> бюджета на 201</w:t>
      </w:r>
      <w:r w:rsidR="00204E7D">
        <w:rPr>
          <w:sz w:val="22"/>
          <w:szCs w:val="32"/>
        </w:rPr>
        <w:t xml:space="preserve">8-2020 </w:t>
      </w:r>
      <w:r w:rsidRPr="00CB0512">
        <w:rPr>
          <w:sz w:val="22"/>
          <w:szCs w:val="32"/>
        </w:rPr>
        <w:t>годы</w:t>
      </w:r>
      <w:r w:rsidRPr="00CB0512">
        <w:rPr>
          <w:sz w:val="24"/>
          <w:szCs w:val="24"/>
        </w:rPr>
        <w:t xml:space="preserve"> </w:t>
      </w:r>
    </w:p>
    <w:p w:rsidR="00D576F7" w:rsidRPr="00CB0512" w:rsidRDefault="00D576F7" w:rsidP="00CB0512">
      <w:pPr>
        <w:rPr>
          <w:sz w:val="24"/>
          <w:szCs w:val="24"/>
        </w:rPr>
      </w:pPr>
    </w:p>
    <w:p w:rsidR="00CB0512" w:rsidRPr="00CB0512" w:rsidRDefault="00CB0512" w:rsidP="00CB0512">
      <w:pPr>
        <w:ind w:right="-1" w:firstLine="709"/>
        <w:jc w:val="both"/>
        <w:rPr>
          <w:szCs w:val="20"/>
        </w:rPr>
      </w:pPr>
      <w:r w:rsidRPr="00CB0512">
        <w:rPr>
          <w:szCs w:val="20"/>
        </w:rPr>
        <w:t>Удельный  вес инвестиций в жилищн</w:t>
      </w:r>
      <w:r w:rsidR="00444055">
        <w:rPr>
          <w:szCs w:val="20"/>
        </w:rPr>
        <w:t>ое</w:t>
      </w:r>
      <w:r w:rsidRPr="00CB0512">
        <w:rPr>
          <w:szCs w:val="20"/>
        </w:rPr>
        <w:t xml:space="preserve"> </w:t>
      </w:r>
      <w:r w:rsidR="00444055">
        <w:rPr>
          <w:szCs w:val="20"/>
        </w:rPr>
        <w:t>строительство</w:t>
      </w:r>
      <w:r w:rsidRPr="00CB0512">
        <w:rPr>
          <w:szCs w:val="20"/>
        </w:rPr>
        <w:t xml:space="preserve"> состав</w:t>
      </w:r>
      <w:r w:rsidR="00730C51">
        <w:rPr>
          <w:szCs w:val="20"/>
        </w:rPr>
        <w:t xml:space="preserve">лял </w:t>
      </w:r>
      <w:r w:rsidR="0084339B">
        <w:rPr>
          <w:szCs w:val="20"/>
        </w:rPr>
        <w:t xml:space="preserve"> в 2016</w:t>
      </w:r>
      <w:r w:rsidRPr="00CB0512">
        <w:rPr>
          <w:szCs w:val="20"/>
        </w:rPr>
        <w:t xml:space="preserve"> г. </w:t>
      </w:r>
      <w:r w:rsidR="0084339B">
        <w:rPr>
          <w:szCs w:val="20"/>
        </w:rPr>
        <w:t>47,8</w:t>
      </w:r>
      <w:r w:rsidRPr="00CB0512">
        <w:rPr>
          <w:szCs w:val="20"/>
        </w:rPr>
        <w:t>% от общего объема инвестици</w:t>
      </w:r>
      <w:r w:rsidR="0084339B">
        <w:rPr>
          <w:szCs w:val="20"/>
        </w:rPr>
        <w:t>й, по оценке, в 2017</w:t>
      </w:r>
      <w:r w:rsidR="00730C51">
        <w:rPr>
          <w:szCs w:val="20"/>
        </w:rPr>
        <w:t xml:space="preserve"> году он составит </w:t>
      </w:r>
      <w:r w:rsidR="0084339B">
        <w:rPr>
          <w:szCs w:val="20"/>
        </w:rPr>
        <w:t>41,4</w:t>
      </w:r>
      <w:r w:rsidR="00730C51">
        <w:rPr>
          <w:szCs w:val="20"/>
        </w:rPr>
        <w:t>%.</w:t>
      </w:r>
      <w:r w:rsidRPr="00CB0512">
        <w:rPr>
          <w:szCs w:val="20"/>
        </w:rPr>
        <w:t xml:space="preserve"> В прогнозном периоде  ожидается данн</w:t>
      </w:r>
      <w:r w:rsidR="00730C51">
        <w:rPr>
          <w:szCs w:val="20"/>
        </w:rPr>
        <w:t>ый</w:t>
      </w:r>
      <w:r w:rsidRPr="00CB0512">
        <w:rPr>
          <w:szCs w:val="20"/>
        </w:rPr>
        <w:t xml:space="preserve"> показател</w:t>
      </w:r>
      <w:r w:rsidR="00730C51">
        <w:rPr>
          <w:szCs w:val="20"/>
        </w:rPr>
        <w:t>ь</w:t>
      </w:r>
      <w:r w:rsidRPr="00CB0512">
        <w:rPr>
          <w:szCs w:val="20"/>
        </w:rPr>
        <w:t xml:space="preserve">  </w:t>
      </w:r>
      <w:r w:rsidR="00730C51">
        <w:rPr>
          <w:szCs w:val="20"/>
        </w:rPr>
        <w:t xml:space="preserve">от </w:t>
      </w:r>
      <w:r w:rsidR="0084339B">
        <w:rPr>
          <w:szCs w:val="20"/>
        </w:rPr>
        <w:t>26,4</w:t>
      </w:r>
      <w:r w:rsidR="00730C51">
        <w:rPr>
          <w:szCs w:val="20"/>
        </w:rPr>
        <w:t xml:space="preserve">% до </w:t>
      </w:r>
      <w:r w:rsidR="0084339B">
        <w:rPr>
          <w:szCs w:val="20"/>
        </w:rPr>
        <w:t>32,7</w:t>
      </w:r>
      <w:r w:rsidR="00730C51">
        <w:rPr>
          <w:szCs w:val="20"/>
        </w:rPr>
        <w:t xml:space="preserve">%. </w:t>
      </w:r>
    </w:p>
    <w:p w:rsidR="00723C4B" w:rsidRDefault="00CB0512" w:rsidP="00CB0512">
      <w:pPr>
        <w:ind w:firstLine="709"/>
        <w:jc w:val="both"/>
      </w:pPr>
      <w:r w:rsidRPr="00CB0512">
        <w:t xml:space="preserve">По другим отраслям </w:t>
      </w:r>
      <w:r w:rsidR="003777BD">
        <w:t xml:space="preserve">экономики района </w:t>
      </w:r>
      <w:r w:rsidRPr="00CB0512">
        <w:t xml:space="preserve">в прогнозном периоде доля инвестиций возрастет от </w:t>
      </w:r>
      <w:r w:rsidR="00257931">
        <w:t>58,6</w:t>
      </w:r>
      <w:r w:rsidRPr="00CB0512">
        <w:t>% в 201</w:t>
      </w:r>
      <w:r w:rsidR="00257931">
        <w:t>7</w:t>
      </w:r>
      <w:r w:rsidRPr="00CB0512">
        <w:t xml:space="preserve"> году, до </w:t>
      </w:r>
      <w:r w:rsidR="00257931">
        <w:t>67,3% в 2020</w:t>
      </w:r>
      <w:r w:rsidRPr="00CB0512">
        <w:t xml:space="preserve"> году.</w:t>
      </w:r>
    </w:p>
    <w:p w:rsidR="00D576F7" w:rsidRDefault="00D576F7" w:rsidP="00CB0512">
      <w:pPr>
        <w:ind w:firstLine="709"/>
        <w:jc w:val="both"/>
      </w:pPr>
    </w:p>
    <w:p w:rsidR="005D50B7" w:rsidRDefault="005D50B7" w:rsidP="00CB0512">
      <w:pPr>
        <w:ind w:firstLine="709"/>
        <w:jc w:val="both"/>
      </w:pPr>
    </w:p>
    <w:p w:rsidR="00723C4B" w:rsidRPr="00CB0512" w:rsidRDefault="00723C4B" w:rsidP="00723C4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График 7</w:t>
      </w:r>
    </w:p>
    <w:p w:rsidR="00CB0512" w:rsidRDefault="00CB0512" w:rsidP="00CB0512">
      <w:pPr>
        <w:ind w:firstLine="709"/>
        <w:jc w:val="both"/>
        <w:rPr>
          <w:b/>
        </w:rPr>
      </w:pPr>
      <w:r w:rsidRPr="00723C4B">
        <w:rPr>
          <w:b/>
        </w:rPr>
        <w:t xml:space="preserve">Структура источников  финансирования капиталовложений </w:t>
      </w:r>
    </w:p>
    <w:p w:rsidR="00723C4B" w:rsidRPr="00723C4B" w:rsidRDefault="00723C4B" w:rsidP="00CB0512">
      <w:pPr>
        <w:ind w:firstLine="709"/>
        <w:jc w:val="both"/>
        <w:rPr>
          <w:b/>
        </w:rPr>
      </w:pPr>
    </w:p>
    <w:p w:rsidR="00CB0512" w:rsidRPr="00CB0512" w:rsidRDefault="00E47FB4" w:rsidP="00723C4B">
      <w:pPr>
        <w:jc w:val="both"/>
        <w:rPr>
          <w:szCs w:val="20"/>
        </w:rPr>
      </w:pPr>
      <w:r>
        <w:rPr>
          <w:noProof/>
        </w:rPr>
        <w:lastRenderedPageBreak/>
        <w:drawing>
          <wp:inline distT="0" distB="0" distL="0" distR="0">
            <wp:extent cx="5933049" cy="3138854"/>
            <wp:effectExtent l="19050" t="0" r="10551" b="4396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23C4B">
        <w:tab/>
      </w:r>
      <w:r w:rsidR="00723C4B">
        <w:rPr>
          <w:szCs w:val="20"/>
        </w:rPr>
        <w:t>Б</w:t>
      </w:r>
      <w:r w:rsidR="00CB0512" w:rsidRPr="00CB0512">
        <w:rPr>
          <w:szCs w:val="20"/>
        </w:rPr>
        <w:t xml:space="preserve">юджетные средства, </w:t>
      </w:r>
      <w:r w:rsidR="001A7354">
        <w:rPr>
          <w:szCs w:val="20"/>
        </w:rPr>
        <w:t>как источники инвестиций, в 2016</w:t>
      </w:r>
      <w:r w:rsidR="00CB0512" w:rsidRPr="00CB0512">
        <w:rPr>
          <w:szCs w:val="20"/>
        </w:rPr>
        <w:t xml:space="preserve"> г. состав</w:t>
      </w:r>
      <w:r w:rsidR="00040E51">
        <w:rPr>
          <w:szCs w:val="20"/>
        </w:rPr>
        <w:t>ляли</w:t>
      </w:r>
      <w:r w:rsidR="00CB0512" w:rsidRPr="00CB0512">
        <w:rPr>
          <w:szCs w:val="20"/>
        </w:rPr>
        <w:t xml:space="preserve"> </w:t>
      </w:r>
      <w:r w:rsidR="001A7354">
        <w:rPr>
          <w:szCs w:val="20"/>
        </w:rPr>
        <w:t>9,6</w:t>
      </w:r>
      <w:r w:rsidR="00CB0512" w:rsidRPr="00CB0512">
        <w:rPr>
          <w:szCs w:val="20"/>
        </w:rPr>
        <w:t xml:space="preserve">% к общему объему капиталовложений, </w:t>
      </w:r>
      <w:r w:rsidR="000D41AC">
        <w:rPr>
          <w:szCs w:val="20"/>
        </w:rPr>
        <w:t>по оценке в 2017 году – 5,4%, в прогнозном периоде 5,1% в 2018 году, 4,8% в 2019 году и 4,6% в 2020</w:t>
      </w:r>
      <w:r w:rsidR="007B05F7">
        <w:rPr>
          <w:szCs w:val="20"/>
        </w:rPr>
        <w:t xml:space="preserve"> году.</w:t>
      </w:r>
      <w:r w:rsidR="00CB0512" w:rsidRPr="00CB0512">
        <w:rPr>
          <w:szCs w:val="20"/>
        </w:rPr>
        <w:t xml:space="preserve"> Бюджетные инвестиции традиционно будут направлены на строительство и модернизацию объектов социальной сферы. </w:t>
      </w:r>
    </w:p>
    <w:p w:rsidR="00CB0512" w:rsidRPr="00CB0512" w:rsidRDefault="00CB0512" w:rsidP="00CB0512">
      <w:pPr>
        <w:ind w:firstLine="851"/>
        <w:jc w:val="both"/>
        <w:rPr>
          <w:szCs w:val="20"/>
        </w:rPr>
      </w:pPr>
      <w:r w:rsidRPr="00CB0512">
        <w:t xml:space="preserve">Основным источником финансирования будут служить собственные </w:t>
      </w:r>
      <w:r w:rsidR="00DD47DC">
        <w:t xml:space="preserve">и привлечённые </w:t>
      </w:r>
      <w:r w:rsidRPr="00CB0512">
        <w:t xml:space="preserve">средства предприятий, доля которых в общем объеме инвестиций составит </w:t>
      </w:r>
      <w:r w:rsidR="004276CB">
        <w:t>95%.</w:t>
      </w:r>
    </w:p>
    <w:p w:rsidR="00427545" w:rsidRPr="009B7F77" w:rsidRDefault="00427545" w:rsidP="00427545">
      <w:pPr>
        <w:ind w:firstLine="708"/>
        <w:jc w:val="both"/>
      </w:pPr>
      <w:r w:rsidRPr="009B7F77">
        <w:t>Объем работ, выполненных по виду деятельност</w:t>
      </w:r>
      <w:r w:rsidR="009F21A0">
        <w:t>и «строительство», за  2016</w:t>
      </w:r>
      <w:r w:rsidRPr="009B7F77">
        <w:t xml:space="preserve"> год на территории района  составил </w:t>
      </w:r>
      <w:r w:rsidR="009F21A0" w:rsidRPr="009F21A0">
        <w:t>470,3</w:t>
      </w:r>
      <w:r w:rsidR="009F21A0">
        <w:t xml:space="preserve"> </w:t>
      </w:r>
      <w:r w:rsidRPr="009B7F77">
        <w:t xml:space="preserve">млн. руб., или </w:t>
      </w:r>
      <w:r w:rsidR="009F21A0">
        <w:t>80</w:t>
      </w:r>
      <w:r w:rsidRPr="009B7F77">
        <w:t>%</w:t>
      </w:r>
      <w:r w:rsidR="009F21A0">
        <w:t xml:space="preserve"> к соответствующему периоду 2015</w:t>
      </w:r>
      <w:r w:rsidRPr="009B7F77">
        <w:t xml:space="preserve"> года в сопоставимых ценах.</w:t>
      </w:r>
    </w:p>
    <w:p w:rsidR="00D01B08" w:rsidRPr="00D01B08" w:rsidRDefault="00D01B08" w:rsidP="00D01B08">
      <w:pPr>
        <w:pStyle w:val="af4"/>
        <w:ind w:firstLine="708"/>
        <w:jc w:val="both"/>
        <w:rPr>
          <w:sz w:val="28"/>
          <w:szCs w:val="28"/>
        </w:rPr>
      </w:pPr>
      <w:r w:rsidRPr="00D01B08">
        <w:rPr>
          <w:sz w:val="28"/>
          <w:szCs w:val="28"/>
        </w:rPr>
        <w:t xml:space="preserve">Проводилась работа по газификации населённых пунктов. На 1 января 2017 года  газифицировано 14230 абонента, в том числе в 2016 году -1006 абонента, 41 населённый пункт из 76, что составляет 68,1% от общего количества домовладений  района. </w:t>
      </w:r>
    </w:p>
    <w:p w:rsidR="00D01B08" w:rsidRPr="00D01B08" w:rsidRDefault="00D01B08" w:rsidP="00D01B08">
      <w:pPr>
        <w:pStyle w:val="af4"/>
        <w:ind w:firstLine="708"/>
        <w:jc w:val="both"/>
        <w:rPr>
          <w:sz w:val="28"/>
          <w:szCs w:val="28"/>
        </w:rPr>
      </w:pPr>
      <w:r w:rsidRPr="00D01B08">
        <w:rPr>
          <w:sz w:val="28"/>
          <w:szCs w:val="28"/>
        </w:rPr>
        <w:t xml:space="preserve">- завершено  строительство сети газораспределения  в с. </w:t>
      </w:r>
      <w:proofErr w:type="spellStart"/>
      <w:r w:rsidRPr="00D01B08">
        <w:rPr>
          <w:sz w:val="28"/>
          <w:szCs w:val="28"/>
        </w:rPr>
        <w:t>Бараба</w:t>
      </w:r>
      <w:proofErr w:type="spellEnd"/>
      <w:r w:rsidRPr="00D01B08">
        <w:rPr>
          <w:sz w:val="28"/>
          <w:szCs w:val="28"/>
        </w:rPr>
        <w:t xml:space="preserve"> (10,6 км.) д. Лаптево  (6,5 км.), в настоящее время идёт подготовка к пуску газа</w:t>
      </w:r>
      <w:r w:rsidR="00DE59AE">
        <w:rPr>
          <w:sz w:val="28"/>
          <w:szCs w:val="28"/>
        </w:rPr>
        <w:t>;</w:t>
      </w:r>
    </w:p>
    <w:p w:rsidR="00D01B08" w:rsidRPr="00D01B08" w:rsidRDefault="00D01B08" w:rsidP="00D01B08">
      <w:pPr>
        <w:pStyle w:val="af4"/>
        <w:ind w:firstLine="708"/>
        <w:jc w:val="both"/>
        <w:rPr>
          <w:sz w:val="28"/>
          <w:szCs w:val="28"/>
        </w:rPr>
      </w:pPr>
      <w:r w:rsidRPr="00D01B08">
        <w:rPr>
          <w:sz w:val="28"/>
          <w:szCs w:val="28"/>
        </w:rPr>
        <w:t xml:space="preserve">- в стадии завершения находится проектно-сметная документация на строительство разводящих газовых сетей с. </w:t>
      </w:r>
      <w:proofErr w:type="spellStart"/>
      <w:r w:rsidR="00DE59AE">
        <w:rPr>
          <w:sz w:val="28"/>
          <w:szCs w:val="28"/>
        </w:rPr>
        <w:t>Темляково</w:t>
      </w:r>
      <w:proofErr w:type="spellEnd"/>
      <w:r w:rsidR="00DE59AE">
        <w:rPr>
          <w:sz w:val="28"/>
          <w:szCs w:val="28"/>
        </w:rPr>
        <w:t xml:space="preserve">, д. Новая </w:t>
      </w:r>
      <w:proofErr w:type="spellStart"/>
      <w:r w:rsidR="00DE59AE">
        <w:rPr>
          <w:sz w:val="28"/>
          <w:szCs w:val="28"/>
        </w:rPr>
        <w:t>Затобольная</w:t>
      </w:r>
      <w:proofErr w:type="spellEnd"/>
      <w:r w:rsidR="00DE59AE">
        <w:rPr>
          <w:sz w:val="28"/>
          <w:szCs w:val="28"/>
        </w:rPr>
        <w:t>;</w:t>
      </w:r>
      <w:r w:rsidRPr="00D01B08">
        <w:rPr>
          <w:sz w:val="28"/>
          <w:szCs w:val="28"/>
        </w:rPr>
        <w:t xml:space="preserve"> </w:t>
      </w:r>
    </w:p>
    <w:p w:rsidR="00D01B08" w:rsidRPr="00D01B08" w:rsidRDefault="00D01B08" w:rsidP="00D01B08">
      <w:pPr>
        <w:pStyle w:val="af4"/>
        <w:ind w:firstLine="708"/>
        <w:jc w:val="both"/>
        <w:rPr>
          <w:sz w:val="28"/>
          <w:szCs w:val="28"/>
        </w:rPr>
      </w:pPr>
      <w:r w:rsidRPr="00D01B08">
        <w:rPr>
          <w:sz w:val="28"/>
          <w:szCs w:val="28"/>
        </w:rPr>
        <w:t xml:space="preserve">-в стадии завершения проектирование строительства сетей газораспределения </w:t>
      </w:r>
      <w:proofErr w:type="gramStart"/>
      <w:r w:rsidRPr="00D01B08">
        <w:rPr>
          <w:sz w:val="28"/>
          <w:szCs w:val="28"/>
        </w:rPr>
        <w:t>в</w:t>
      </w:r>
      <w:proofErr w:type="gramEnd"/>
      <w:r w:rsidRPr="00D01B08">
        <w:rPr>
          <w:sz w:val="28"/>
          <w:szCs w:val="28"/>
        </w:rPr>
        <w:t xml:space="preserve"> с. </w:t>
      </w:r>
      <w:proofErr w:type="spellStart"/>
      <w:r w:rsidRPr="00D01B08">
        <w:rPr>
          <w:sz w:val="28"/>
          <w:szCs w:val="28"/>
        </w:rPr>
        <w:t>Пименовка</w:t>
      </w:r>
      <w:proofErr w:type="spellEnd"/>
      <w:r w:rsidRPr="00D01B08">
        <w:rPr>
          <w:sz w:val="28"/>
          <w:szCs w:val="28"/>
        </w:rPr>
        <w:t>, с. Чесноки, с. Сы</w:t>
      </w:r>
      <w:r w:rsidR="00DE59AE">
        <w:rPr>
          <w:sz w:val="28"/>
          <w:szCs w:val="28"/>
        </w:rPr>
        <w:t xml:space="preserve">чево, д. </w:t>
      </w:r>
      <w:proofErr w:type="spellStart"/>
      <w:r w:rsidR="00DE59AE">
        <w:rPr>
          <w:sz w:val="28"/>
          <w:szCs w:val="28"/>
        </w:rPr>
        <w:t>Логоушка</w:t>
      </w:r>
      <w:proofErr w:type="spellEnd"/>
      <w:r w:rsidR="00DE59AE">
        <w:rPr>
          <w:sz w:val="28"/>
          <w:szCs w:val="28"/>
        </w:rPr>
        <w:t xml:space="preserve">, п. </w:t>
      </w:r>
      <w:proofErr w:type="spellStart"/>
      <w:r w:rsidR="00DE59AE">
        <w:rPr>
          <w:sz w:val="28"/>
          <w:szCs w:val="28"/>
        </w:rPr>
        <w:t>Логовушка</w:t>
      </w:r>
      <w:proofErr w:type="spellEnd"/>
      <w:r w:rsidR="00DE59AE">
        <w:rPr>
          <w:sz w:val="28"/>
          <w:szCs w:val="28"/>
        </w:rPr>
        <w:t>.</w:t>
      </w:r>
    </w:p>
    <w:p w:rsidR="00D01B08" w:rsidRPr="00D01B08" w:rsidRDefault="00D01B08" w:rsidP="00D01B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01B08">
        <w:t xml:space="preserve">           Мероприятия по реализации приоритетного проекта «Формирование современной городской среды» на территории </w:t>
      </w:r>
      <w:proofErr w:type="spellStart"/>
      <w:r w:rsidRPr="00D01B08">
        <w:t>Кетовского</w:t>
      </w:r>
      <w:proofErr w:type="spellEnd"/>
      <w:r w:rsidRPr="00D01B08">
        <w:t xml:space="preserve"> района в 2017 году завершены. Всего в рамках данной программы благоустроено 3 дворовых территории и муниципальная общественная территория.</w:t>
      </w:r>
    </w:p>
    <w:p w:rsidR="00D01B08" w:rsidRPr="00636DE6" w:rsidRDefault="00D01B08" w:rsidP="00D01B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01B08">
        <w:rPr>
          <w:color w:val="000000"/>
        </w:rPr>
        <w:t xml:space="preserve">        Общий объем финансирования программы с учетом бюджета </w:t>
      </w:r>
      <w:proofErr w:type="spellStart"/>
      <w:r w:rsidRPr="00D01B08">
        <w:rPr>
          <w:color w:val="000000"/>
        </w:rPr>
        <w:t>Кетовского</w:t>
      </w:r>
      <w:proofErr w:type="spellEnd"/>
      <w:r w:rsidRPr="00D01B08">
        <w:rPr>
          <w:color w:val="000000"/>
        </w:rPr>
        <w:t xml:space="preserve"> района предусматривает </w:t>
      </w:r>
      <w:r w:rsidR="00F633AB" w:rsidRPr="00873C9E">
        <w:rPr>
          <w:color w:val="000000"/>
        </w:rPr>
        <w:t>10,9 млн.</w:t>
      </w:r>
      <w:r w:rsidR="00873C9E">
        <w:rPr>
          <w:color w:val="000000"/>
        </w:rPr>
        <w:t xml:space="preserve"> </w:t>
      </w:r>
      <w:r w:rsidRPr="00873C9E">
        <w:rPr>
          <w:color w:val="000000"/>
        </w:rPr>
        <w:t>руб</w:t>
      </w:r>
      <w:r w:rsidRPr="00D01B08">
        <w:rPr>
          <w:color w:val="000000"/>
        </w:rPr>
        <w:t>.</w:t>
      </w:r>
    </w:p>
    <w:p w:rsidR="00D01B08" w:rsidRPr="00D01B08" w:rsidRDefault="00E47FB4" w:rsidP="00D01B08">
      <w:pPr>
        <w:pStyle w:val="af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71210" cy="305498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C6C09">
        <w:tab/>
      </w:r>
      <w:r w:rsidR="00D01B08" w:rsidRPr="00D01B08">
        <w:rPr>
          <w:sz w:val="28"/>
          <w:szCs w:val="28"/>
        </w:rPr>
        <w:t xml:space="preserve">В 2016 году введено в эксплуатацию 55,9 тыс. кв.м. жилья или 180% от 115%  к итогам 2015 года. Жителями района получено 60 </w:t>
      </w:r>
      <w:proofErr w:type="gramStart"/>
      <w:r w:rsidR="00D01B08" w:rsidRPr="00D01B08">
        <w:rPr>
          <w:sz w:val="28"/>
          <w:szCs w:val="28"/>
        </w:rPr>
        <w:t>ипотечных</w:t>
      </w:r>
      <w:proofErr w:type="gramEnd"/>
      <w:r w:rsidR="00D01B08" w:rsidRPr="00D01B08">
        <w:rPr>
          <w:sz w:val="28"/>
          <w:szCs w:val="28"/>
        </w:rPr>
        <w:t xml:space="preserve"> кредита на приобретение и строительство жилья. Для обеспечения жильем детей-сирот приобретено 39 квартир на сумму более 39 млн. руб. До конца 2017 года планируется приобрести еще 27 квартир для детей-сирот.</w:t>
      </w:r>
    </w:p>
    <w:p w:rsidR="00D01B08" w:rsidRPr="00D01B08" w:rsidRDefault="00D01B08" w:rsidP="00D01B08">
      <w:pPr>
        <w:jc w:val="both"/>
      </w:pPr>
      <w:r w:rsidRPr="00D01B08">
        <w:tab/>
        <w:t>За январь-август  2017 года введено в эксплуатацию 14,3 тыс. кв.м. жилья или 50 % к аналогичному периоду 2016 года.</w:t>
      </w:r>
    </w:p>
    <w:p w:rsidR="00D01B08" w:rsidRPr="00D01B08" w:rsidRDefault="00D01B08" w:rsidP="00D01B08">
      <w:pPr>
        <w:ind w:firstLine="709"/>
        <w:jc w:val="both"/>
      </w:pPr>
      <w:r w:rsidRPr="00D01B08">
        <w:t>В прогнозируемом периоде ввод жилья составит от 35000 м</w:t>
      </w:r>
      <w:proofErr w:type="gramStart"/>
      <w:r w:rsidRPr="00D01B08">
        <w:rPr>
          <w:vertAlign w:val="superscript"/>
        </w:rPr>
        <w:t>2</w:t>
      </w:r>
      <w:proofErr w:type="gramEnd"/>
      <w:r w:rsidRPr="00D01B08">
        <w:t xml:space="preserve"> до 36500 м</w:t>
      </w:r>
      <w:r w:rsidRPr="00D01B08">
        <w:rPr>
          <w:vertAlign w:val="superscript"/>
        </w:rPr>
        <w:t>2</w:t>
      </w:r>
      <w:r w:rsidRPr="00D01B08">
        <w:t>.</w:t>
      </w:r>
    </w:p>
    <w:p w:rsidR="00CB0512" w:rsidRPr="00D01B08" w:rsidRDefault="00CB0512" w:rsidP="00D01B08">
      <w:pPr>
        <w:pStyle w:val="af4"/>
        <w:jc w:val="both"/>
      </w:pPr>
    </w:p>
    <w:p w:rsidR="00CB0512" w:rsidRPr="00CB0512" w:rsidRDefault="00CB0512" w:rsidP="00CB0512">
      <w:pPr>
        <w:autoSpaceDE w:val="0"/>
        <w:autoSpaceDN w:val="0"/>
        <w:adjustRightInd w:val="0"/>
        <w:ind w:firstLine="709"/>
        <w:jc w:val="both"/>
      </w:pPr>
      <w:r w:rsidRPr="00D01B08">
        <w:t>Социально-экономическое</w:t>
      </w:r>
      <w:r w:rsidRPr="00CB0512">
        <w:t xml:space="preserve"> развитие </w:t>
      </w:r>
      <w:proofErr w:type="spellStart"/>
      <w:r w:rsidR="00122F6D">
        <w:rPr>
          <w:bCs/>
        </w:rPr>
        <w:t>Кетовского</w:t>
      </w:r>
      <w:proofErr w:type="spellEnd"/>
      <w:r w:rsidR="00122F6D">
        <w:rPr>
          <w:bCs/>
        </w:rPr>
        <w:t xml:space="preserve"> района</w:t>
      </w:r>
      <w:r w:rsidRPr="00CB0512">
        <w:rPr>
          <w:rFonts w:ascii="Times New Roman,Bold" w:hAnsi="Times New Roman,Bold" w:cs="Times New Roman,Bold"/>
          <w:b/>
          <w:bCs/>
        </w:rPr>
        <w:t xml:space="preserve"> </w:t>
      </w:r>
      <w:r w:rsidRPr="00CB0512">
        <w:t>в прогнозируемом периоде 201</w:t>
      </w:r>
      <w:r w:rsidR="001C6C09">
        <w:t>7</w:t>
      </w:r>
      <w:r w:rsidRPr="00CB0512">
        <w:t xml:space="preserve"> – 201</w:t>
      </w:r>
      <w:r w:rsidR="001C6C09">
        <w:t>9</w:t>
      </w:r>
      <w:r w:rsidRPr="00CB0512">
        <w:t xml:space="preserve"> гг. будет происходить под влиянием внешних факторов при сложной ситуации в стране с учетом конкурентоспособности территории, а также целенаправленной региональной политики органов государственной власти и усилий органов местного самоуправления, вследствие чего выбран сдержанный прогноз развития </w:t>
      </w:r>
      <w:r w:rsidR="001C6C09">
        <w:t>района</w:t>
      </w:r>
      <w:r w:rsidRPr="00CB0512">
        <w:t>.</w:t>
      </w:r>
    </w:p>
    <w:p w:rsidR="00CB0512" w:rsidRPr="00CB0512" w:rsidRDefault="00CB0512" w:rsidP="00CB0512">
      <w:pPr>
        <w:ind w:firstLine="709"/>
        <w:jc w:val="both"/>
      </w:pPr>
    </w:p>
    <w:p w:rsidR="00CB0512" w:rsidRPr="00CB0512" w:rsidRDefault="00CB0512" w:rsidP="00CB0512">
      <w:pPr>
        <w:ind w:firstLine="709"/>
        <w:jc w:val="both"/>
      </w:pPr>
    </w:p>
    <w:p w:rsidR="00CB0512" w:rsidRPr="00CB0512" w:rsidRDefault="00CB0512" w:rsidP="00CB0512">
      <w:pPr>
        <w:ind w:firstLine="709"/>
        <w:jc w:val="both"/>
      </w:pPr>
    </w:p>
    <w:p w:rsidR="00122F6D" w:rsidRDefault="00CB0512" w:rsidP="001C6C09">
      <w:r w:rsidRPr="00CB0512">
        <w:t xml:space="preserve">Начальник </w:t>
      </w:r>
      <w:r w:rsidR="001C6C09">
        <w:t xml:space="preserve">отдела экономики, </w:t>
      </w:r>
    </w:p>
    <w:p w:rsidR="00122F6D" w:rsidRDefault="001C6C09" w:rsidP="001C6C09">
      <w:r>
        <w:t xml:space="preserve">торговли, труда и инвестиций </w:t>
      </w:r>
    </w:p>
    <w:p w:rsidR="00CB0512" w:rsidRPr="00CB0512" w:rsidRDefault="001C6C09" w:rsidP="001C6C09">
      <w:r>
        <w:t xml:space="preserve">Администрации </w:t>
      </w:r>
      <w:proofErr w:type="spellStart"/>
      <w:r>
        <w:t>Кетовского</w:t>
      </w:r>
      <w:proofErr w:type="spellEnd"/>
      <w:r>
        <w:t xml:space="preserve"> района</w:t>
      </w:r>
      <w:r w:rsidR="00122F6D">
        <w:t xml:space="preserve">                                          В.А. </w:t>
      </w:r>
      <w:proofErr w:type="spellStart"/>
      <w:r w:rsidR="00122F6D">
        <w:t>Старыгина</w:t>
      </w:r>
      <w:proofErr w:type="spellEnd"/>
    </w:p>
    <w:p w:rsidR="00CB0512" w:rsidRPr="00CB0512" w:rsidRDefault="00CB0512" w:rsidP="00CB0512"/>
    <w:p w:rsidR="00CB0512" w:rsidRPr="00CB0512" w:rsidRDefault="00CB0512" w:rsidP="00CB0512"/>
    <w:p w:rsidR="00CB0512" w:rsidRPr="00CB0512" w:rsidRDefault="00CB0512" w:rsidP="00CB0512"/>
    <w:p w:rsidR="00122F6D" w:rsidRDefault="00122F6D" w:rsidP="00CB0512">
      <w:pPr>
        <w:rPr>
          <w:sz w:val="24"/>
          <w:szCs w:val="24"/>
        </w:rPr>
      </w:pPr>
    </w:p>
    <w:p w:rsidR="00122F6D" w:rsidRDefault="00122F6D" w:rsidP="00CB0512">
      <w:pPr>
        <w:rPr>
          <w:sz w:val="24"/>
          <w:szCs w:val="24"/>
        </w:rPr>
      </w:pPr>
    </w:p>
    <w:p w:rsidR="00122F6D" w:rsidRDefault="00122F6D" w:rsidP="00CB0512">
      <w:pPr>
        <w:rPr>
          <w:sz w:val="24"/>
          <w:szCs w:val="24"/>
        </w:rPr>
      </w:pPr>
    </w:p>
    <w:p w:rsidR="00122F6D" w:rsidRDefault="00122F6D" w:rsidP="00CB0512">
      <w:pPr>
        <w:rPr>
          <w:sz w:val="24"/>
          <w:szCs w:val="24"/>
        </w:rPr>
      </w:pPr>
    </w:p>
    <w:p w:rsidR="00CB0512" w:rsidRPr="00CB0512" w:rsidRDefault="00122F6D" w:rsidP="00CB0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Кирющенко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Эльмира</w:t>
      </w:r>
      <w:proofErr w:type="spellEnd"/>
      <w:r>
        <w:rPr>
          <w:sz w:val="24"/>
          <w:szCs w:val="24"/>
        </w:rPr>
        <w:t xml:space="preserve"> Маратовна</w:t>
      </w:r>
    </w:p>
    <w:p w:rsidR="00CB0512" w:rsidRDefault="00122F6D" w:rsidP="00CB0512">
      <w:r>
        <w:rPr>
          <w:sz w:val="24"/>
          <w:szCs w:val="24"/>
        </w:rPr>
        <w:t>Телегина Светлана Валерьевна</w:t>
      </w:r>
    </w:p>
    <w:sectPr w:rsidR="00CB0512" w:rsidSect="00876CB0">
      <w:type w:val="continuous"/>
      <w:pgSz w:w="11906" w:h="16838"/>
      <w:pgMar w:top="851" w:right="991" w:bottom="1134" w:left="1701" w:header="357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5D"/>
    <w:multiLevelType w:val="hybridMultilevel"/>
    <w:tmpl w:val="55C4BF7E"/>
    <w:lvl w:ilvl="0" w:tplc="136C83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C2C02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DD5A3A"/>
    <w:multiLevelType w:val="hybridMultilevel"/>
    <w:tmpl w:val="0994CB84"/>
    <w:lvl w:ilvl="0" w:tplc="4B48703E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Georgia" w:hAnsi="Georgia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616"/>
    <w:multiLevelType w:val="hybridMultilevel"/>
    <w:tmpl w:val="AC9C4ED2"/>
    <w:lvl w:ilvl="0" w:tplc="9F0C0E5A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  <w:sz w:val="20"/>
      </w:rPr>
    </w:lvl>
    <w:lvl w:ilvl="1" w:tplc="D194B260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2A54327C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180115FF"/>
    <w:multiLevelType w:val="hybridMultilevel"/>
    <w:tmpl w:val="39B89962"/>
    <w:lvl w:ilvl="0" w:tplc="3A8C9D2A">
      <w:start w:val="1"/>
      <w:numFmt w:val="bullet"/>
      <w:lvlText w:val="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1" w:tplc="C472BA7E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">
    <w:nsid w:val="19FE536B"/>
    <w:multiLevelType w:val="hybridMultilevel"/>
    <w:tmpl w:val="FA3C6F12"/>
    <w:lvl w:ilvl="0" w:tplc="BBD670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AB672C2"/>
    <w:multiLevelType w:val="hybridMultilevel"/>
    <w:tmpl w:val="95CE69E4"/>
    <w:lvl w:ilvl="0" w:tplc="1944C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E3CE7"/>
    <w:multiLevelType w:val="hybridMultilevel"/>
    <w:tmpl w:val="B2005C20"/>
    <w:lvl w:ilvl="0" w:tplc="07A4650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31C0B"/>
    <w:multiLevelType w:val="hybridMultilevel"/>
    <w:tmpl w:val="F86E40DE"/>
    <w:lvl w:ilvl="0" w:tplc="F824053C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4B737D"/>
    <w:multiLevelType w:val="hybridMultilevel"/>
    <w:tmpl w:val="D0247748"/>
    <w:lvl w:ilvl="0" w:tplc="79042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7933"/>
    <w:multiLevelType w:val="hybridMultilevel"/>
    <w:tmpl w:val="CC0A2522"/>
    <w:lvl w:ilvl="0" w:tplc="1CD45AA0">
      <w:start w:val="1"/>
      <w:numFmt w:val="bullet"/>
      <w:lvlText w:val="-"/>
      <w:lvlJc w:val="left"/>
      <w:pPr>
        <w:tabs>
          <w:tab w:val="num" w:pos="3371"/>
        </w:tabs>
        <w:ind w:left="2520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CD45AA0">
      <w:start w:val="1"/>
      <w:numFmt w:val="bullet"/>
      <w:lvlText w:val="-"/>
      <w:lvlJc w:val="left"/>
      <w:pPr>
        <w:tabs>
          <w:tab w:val="num" w:pos="2557"/>
        </w:tabs>
        <w:ind w:left="1706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5C2C6E"/>
    <w:multiLevelType w:val="hybridMultilevel"/>
    <w:tmpl w:val="7F4E640A"/>
    <w:lvl w:ilvl="0" w:tplc="F382593A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  <w:sz w:val="20"/>
      </w:rPr>
    </w:lvl>
    <w:lvl w:ilvl="1" w:tplc="BEC4EE0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B9A4E76"/>
    <w:multiLevelType w:val="hybridMultilevel"/>
    <w:tmpl w:val="D8D62FD6"/>
    <w:lvl w:ilvl="0" w:tplc="B0AE9C3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52114"/>
    <w:multiLevelType w:val="singleLevel"/>
    <w:tmpl w:val="E63413F8"/>
    <w:lvl w:ilvl="0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3">
    <w:nsid w:val="415777CE"/>
    <w:multiLevelType w:val="hybridMultilevel"/>
    <w:tmpl w:val="F5F6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222A6"/>
    <w:multiLevelType w:val="hybridMultilevel"/>
    <w:tmpl w:val="C4C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15207"/>
    <w:multiLevelType w:val="singleLevel"/>
    <w:tmpl w:val="E3A24C72"/>
    <w:lvl w:ilvl="0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  <w:sz w:val="20"/>
      </w:rPr>
    </w:lvl>
  </w:abstractNum>
  <w:abstractNum w:abstractNumId="16">
    <w:nsid w:val="62B5727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D21EA8"/>
    <w:multiLevelType w:val="hybridMultilevel"/>
    <w:tmpl w:val="869A3180"/>
    <w:lvl w:ilvl="0" w:tplc="F824053C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CD6E2D"/>
    <w:multiLevelType w:val="hybridMultilevel"/>
    <w:tmpl w:val="011A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F00BF"/>
    <w:multiLevelType w:val="hybridMultilevel"/>
    <w:tmpl w:val="358ED638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2" w:tplc="979CA768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9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0E79"/>
    <w:rsid w:val="00027240"/>
    <w:rsid w:val="00040E51"/>
    <w:rsid w:val="00044276"/>
    <w:rsid w:val="000462DB"/>
    <w:rsid w:val="00047DA7"/>
    <w:rsid w:val="0005149B"/>
    <w:rsid w:val="00052851"/>
    <w:rsid w:val="000616EB"/>
    <w:rsid w:val="00074E54"/>
    <w:rsid w:val="00084299"/>
    <w:rsid w:val="0008619D"/>
    <w:rsid w:val="000A0AB2"/>
    <w:rsid w:val="000A31C5"/>
    <w:rsid w:val="000A5A25"/>
    <w:rsid w:val="000C509E"/>
    <w:rsid w:val="000C5896"/>
    <w:rsid w:val="000C6D91"/>
    <w:rsid w:val="000D162B"/>
    <w:rsid w:val="000D41AC"/>
    <w:rsid w:val="000E1C60"/>
    <w:rsid w:val="000E706E"/>
    <w:rsid w:val="000F0D92"/>
    <w:rsid w:val="000F399A"/>
    <w:rsid w:val="000F67B2"/>
    <w:rsid w:val="001007D2"/>
    <w:rsid w:val="001018B7"/>
    <w:rsid w:val="00102267"/>
    <w:rsid w:val="001033ED"/>
    <w:rsid w:val="0011582B"/>
    <w:rsid w:val="001216E4"/>
    <w:rsid w:val="00122F6D"/>
    <w:rsid w:val="00127CC4"/>
    <w:rsid w:val="001374F7"/>
    <w:rsid w:val="00145095"/>
    <w:rsid w:val="001519A9"/>
    <w:rsid w:val="00152B63"/>
    <w:rsid w:val="00156F46"/>
    <w:rsid w:val="0016068D"/>
    <w:rsid w:val="001728B7"/>
    <w:rsid w:val="00174BAD"/>
    <w:rsid w:val="001750ED"/>
    <w:rsid w:val="00186238"/>
    <w:rsid w:val="001868E6"/>
    <w:rsid w:val="00192BFF"/>
    <w:rsid w:val="001964FE"/>
    <w:rsid w:val="00197B15"/>
    <w:rsid w:val="001A54FE"/>
    <w:rsid w:val="001A7354"/>
    <w:rsid w:val="001C6682"/>
    <w:rsid w:val="001C6C09"/>
    <w:rsid w:val="001D14F9"/>
    <w:rsid w:val="001D4366"/>
    <w:rsid w:val="001D4458"/>
    <w:rsid w:val="001D5E53"/>
    <w:rsid w:val="001D779A"/>
    <w:rsid w:val="001E067F"/>
    <w:rsid w:val="001E7C51"/>
    <w:rsid w:val="001F36E3"/>
    <w:rsid w:val="001F3A16"/>
    <w:rsid w:val="001F5B3B"/>
    <w:rsid w:val="001F768A"/>
    <w:rsid w:val="00204E7D"/>
    <w:rsid w:val="00212065"/>
    <w:rsid w:val="002147C1"/>
    <w:rsid w:val="002151D9"/>
    <w:rsid w:val="00220CB9"/>
    <w:rsid w:val="00231BD3"/>
    <w:rsid w:val="00241B24"/>
    <w:rsid w:val="0024387D"/>
    <w:rsid w:val="00247DA1"/>
    <w:rsid w:val="0025020F"/>
    <w:rsid w:val="00257931"/>
    <w:rsid w:val="00264C4B"/>
    <w:rsid w:val="002679BF"/>
    <w:rsid w:val="00270920"/>
    <w:rsid w:val="00272142"/>
    <w:rsid w:val="00276C99"/>
    <w:rsid w:val="00282915"/>
    <w:rsid w:val="0029088A"/>
    <w:rsid w:val="00294739"/>
    <w:rsid w:val="002A0121"/>
    <w:rsid w:val="002A0138"/>
    <w:rsid w:val="002A5C63"/>
    <w:rsid w:val="002A7F32"/>
    <w:rsid w:val="002C0FD7"/>
    <w:rsid w:val="002D3CB7"/>
    <w:rsid w:val="002D5EE9"/>
    <w:rsid w:val="002E55B1"/>
    <w:rsid w:val="002E5EE0"/>
    <w:rsid w:val="002E6201"/>
    <w:rsid w:val="002F1E24"/>
    <w:rsid w:val="002F251F"/>
    <w:rsid w:val="002F296A"/>
    <w:rsid w:val="002F4BC8"/>
    <w:rsid w:val="00301A5B"/>
    <w:rsid w:val="003118EF"/>
    <w:rsid w:val="00315EB5"/>
    <w:rsid w:val="0032108E"/>
    <w:rsid w:val="00323C49"/>
    <w:rsid w:val="00326162"/>
    <w:rsid w:val="003262D9"/>
    <w:rsid w:val="00334215"/>
    <w:rsid w:val="00334BEF"/>
    <w:rsid w:val="00335146"/>
    <w:rsid w:val="003451D8"/>
    <w:rsid w:val="00346B86"/>
    <w:rsid w:val="00355A7C"/>
    <w:rsid w:val="00360A14"/>
    <w:rsid w:val="00361FA9"/>
    <w:rsid w:val="00363405"/>
    <w:rsid w:val="00366A3E"/>
    <w:rsid w:val="00372E5D"/>
    <w:rsid w:val="00373291"/>
    <w:rsid w:val="00375585"/>
    <w:rsid w:val="003777BD"/>
    <w:rsid w:val="0038186A"/>
    <w:rsid w:val="00390D7C"/>
    <w:rsid w:val="00395789"/>
    <w:rsid w:val="003A00AA"/>
    <w:rsid w:val="003A13D7"/>
    <w:rsid w:val="003A225C"/>
    <w:rsid w:val="003B324D"/>
    <w:rsid w:val="003B469D"/>
    <w:rsid w:val="003B5586"/>
    <w:rsid w:val="003B6819"/>
    <w:rsid w:val="003C113E"/>
    <w:rsid w:val="003C2CC3"/>
    <w:rsid w:val="003C38B5"/>
    <w:rsid w:val="003C3BB4"/>
    <w:rsid w:val="003D0C27"/>
    <w:rsid w:val="003D1913"/>
    <w:rsid w:val="003D2572"/>
    <w:rsid w:val="003D4A45"/>
    <w:rsid w:val="003E2038"/>
    <w:rsid w:val="003F09AE"/>
    <w:rsid w:val="003F0F38"/>
    <w:rsid w:val="003F2CD0"/>
    <w:rsid w:val="003F49D2"/>
    <w:rsid w:val="004009D1"/>
    <w:rsid w:val="00406F3C"/>
    <w:rsid w:val="00407B1F"/>
    <w:rsid w:val="00415D63"/>
    <w:rsid w:val="004235C6"/>
    <w:rsid w:val="004240AA"/>
    <w:rsid w:val="00427545"/>
    <w:rsid w:val="004276CB"/>
    <w:rsid w:val="00430E1E"/>
    <w:rsid w:val="00433EEC"/>
    <w:rsid w:val="004348DA"/>
    <w:rsid w:val="00434F10"/>
    <w:rsid w:val="00437A39"/>
    <w:rsid w:val="00444055"/>
    <w:rsid w:val="00450008"/>
    <w:rsid w:val="00451428"/>
    <w:rsid w:val="004554DC"/>
    <w:rsid w:val="0046013C"/>
    <w:rsid w:val="0046189E"/>
    <w:rsid w:val="004658A7"/>
    <w:rsid w:val="004702AC"/>
    <w:rsid w:val="0047463D"/>
    <w:rsid w:val="00475C3F"/>
    <w:rsid w:val="00482974"/>
    <w:rsid w:val="004876C5"/>
    <w:rsid w:val="0048782E"/>
    <w:rsid w:val="00491423"/>
    <w:rsid w:val="00494E7E"/>
    <w:rsid w:val="00494FF6"/>
    <w:rsid w:val="00494FFC"/>
    <w:rsid w:val="0049569E"/>
    <w:rsid w:val="00495A46"/>
    <w:rsid w:val="004A51BF"/>
    <w:rsid w:val="004B2503"/>
    <w:rsid w:val="004B4757"/>
    <w:rsid w:val="004C2D16"/>
    <w:rsid w:val="004C3104"/>
    <w:rsid w:val="004D1371"/>
    <w:rsid w:val="004D35AF"/>
    <w:rsid w:val="004D65DB"/>
    <w:rsid w:val="004E2439"/>
    <w:rsid w:val="004E4B74"/>
    <w:rsid w:val="004E55E5"/>
    <w:rsid w:val="004F42B8"/>
    <w:rsid w:val="005240EE"/>
    <w:rsid w:val="0053135B"/>
    <w:rsid w:val="0053786E"/>
    <w:rsid w:val="0054008C"/>
    <w:rsid w:val="00550CB2"/>
    <w:rsid w:val="00553D4D"/>
    <w:rsid w:val="005700DC"/>
    <w:rsid w:val="00570633"/>
    <w:rsid w:val="00570FF1"/>
    <w:rsid w:val="0058292D"/>
    <w:rsid w:val="00593453"/>
    <w:rsid w:val="005955C8"/>
    <w:rsid w:val="005B01CA"/>
    <w:rsid w:val="005B1A54"/>
    <w:rsid w:val="005C4804"/>
    <w:rsid w:val="005C6C8D"/>
    <w:rsid w:val="005D50B7"/>
    <w:rsid w:val="005D7C59"/>
    <w:rsid w:val="005E12E4"/>
    <w:rsid w:val="005E2E8D"/>
    <w:rsid w:val="005E5F7F"/>
    <w:rsid w:val="005E7D7E"/>
    <w:rsid w:val="005F0F80"/>
    <w:rsid w:val="005F1607"/>
    <w:rsid w:val="006071C1"/>
    <w:rsid w:val="006152B3"/>
    <w:rsid w:val="006155BD"/>
    <w:rsid w:val="00615D32"/>
    <w:rsid w:val="00617215"/>
    <w:rsid w:val="00627655"/>
    <w:rsid w:val="006336B1"/>
    <w:rsid w:val="00636480"/>
    <w:rsid w:val="006403F3"/>
    <w:rsid w:val="006441A6"/>
    <w:rsid w:val="00645D3A"/>
    <w:rsid w:val="00646D5E"/>
    <w:rsid w:val="006544C2"/>
    <w:rsid w:val="006919F9"/>
    <w:rsid w:val="006977F7"/>
    <w:rsid w:val="006B198B"/>
    <w:rsid w:val="006B2198"/>
    <w:rsid w:val="006B544A"/>
    <w:rsid w:val="006B57AE"/>
    <w:rsid w:val="006C3F3D"/>
    <w:rsid w:val="006D06F5"/>
    <w:rsid w:val="006D183B"/>
    <w:rsid w:val="006D4B1C"/>
    <w:rsid w:val="006D6389"/>
    <w:rsid w:val="006D72FE"/>
    <w:rsid w:val="006E68C0"/>
    <w:rsid w:val="006F104B"/>
    <w:rsid w:val="00706117"/>
    <w:rsid w:val="007152AF"/>
    <w:rsid w:val="00721C15"/>
    <w:rsid w:val="00723C4B"/>
    <w:rsid w:val="00730C51"/>
    <w:rsid w:val="0073313B"/>
    <w:rsid w:val="00733533"/>
    <w:rsid w:val="00734D72"/>
    <w:rsid w:val="007439CA"/>
    <w:rsid w:val="00747581"/>
    <w:rsid w:val="007475BC"/>
    <w:rsid w:val="0074798A"/>
    <w:rsid w:val="007643DA"/>
    <w:rsid w:val="00770382"/>
    <w:rsid w:val="00776038"/>
    <w:rsid w:val="00790C81"/>
    <w:rsid w:val="0079420B"/>
    <w:rsid w:val="00796940"/>
    <w:rsid w:val="00796CFC"/>
    <w:rsid w:val="007A50EB"/>
    <w:rsid w:val="007A6031"/>
    <w:rsid w:val="007B05F7"/>
    <w:rsid w:val="007B064E"/>
    <w:rsid w:val="007B5334"/>
    <w:rsid w:val="007B566F"/>
    <w:rsid w:val="007B5F16"/>
    <w:rsid w:val="007B61ED"/>
    <w:rsid w:val="007D34A2"/>
    <w:rsid w:val="007D4048"/>
    <w:rsid w:val="007D4C9B"/>
    <w:rsid w:val="007D70CC"/>
    <w:rsid w:val="007F1981"/>
    <w:rsid w:val="007F6063"/>
    <w:rsid w:val="00803282"/>
    <w:rsid w:val="00810B85"/>
    <w:rsid w:val="00811398"/>
    <w:rsid w:val="00820EF1"/>
    <w:rsid w:val="00826FF6"/>
    <w:rsid w:val="008366CC"/>
    <w:rsid w:val="0084339B"/>
    <w:rsid w:val="008519D9"/>
    <w:rsid w:val="00854B0D"/>
    <w:rsid w:val="00855B01"/>
    <w:rsid w:val="00860D1F"/>
    <w:rsid w:val="008701AF"/>
    <w:rsid w:val="00873C9E"/>
    <w:rsid w:val="008752EC"/>
    <w:rsid w:val="00876CB0"/>
    <w:rsid w:val="008847E3"/>
    <w:rsid w:val="008852C9"/>
    <w:rsid w:val="00886245"/>
    <w:rsid w:val="008879AB"/>
    <w:rsid w:val="008935D4"/>
    <w:rsid w:val="00894A3C"/>
    <w:rsid w:val="00895C13"/>
    <w:rsid w:val="008A245F"/>
    <w:rsid w:val="008A589A"/>
    <w:rsid w:val="008B1A09"/>
    <w:rsid w:val="008C12D9"/>
    <w:rsid w:val="008C149F"/>
    <w:rsid w:val="008C3815"/>
    <w:rsid w:val="008C3842"/>
    <w:rsid w:val="008E4EFD"/>
    <w:rsid w:val="008E5EE9"/>
    <w:rsid w:val="008F0DE1"/>
    <w:rsid w:val="008F61FD"/>
    <w:rsid w:val="008F6D4C"/>
    <w:rsid w:val="00906504"/>
    <w:rsid w:val="0090774B"/>
    <w:rsid w:val="009110AE"/>
    <w:rsid w:val="00911468"/>
    <w:rsid w:val="009177FA"/>
    <w:rsid w:val="00917E69"/>
    <w:rsid w:val="00922E34"/>
    <w:rsid w:val="0092316A"/>
    <w:rsid w:val="00923C3F"/>
    <w:rsid w:val="009269B3"/>
    <w:rsid w:val="00930CBA"/>
    <w:rsid w:val="00931029"/>
    <w:rsid w:val="00931FC7"/>
    <w:rsid w:val="00936DA5"/>
    <w:rsid w:val="00941B48"/>
    <w:rsid w:val="00944B93"/>
    <w:rsid w:val="00946438"/>
    <w:rsid w:val="00953C84"/>
    <w:rsid w:val="00960B0C"/>
    <w:rsid w:val="00961175"/>
    <w:rsid w:val="009714E8"/>
    <w:rsid w:val="00971867"/>
    <w:rsid w:val="00971D03"/>
    <w:rsid w:val="0097484E"/>
    <w:rsid w:val="00975EFA"/>
    <w:rsid w:val="00982939"/>
    <w:rsid w:val="009842F7"/>
    <w:rsid w:val="009A4859"/>
    <w:rsid w:val="009A66CA"/>
    <w:rsid w:val="009A694F"/>
    <w:rsid w:val="009B21FB"/>
    <w:rsid w:val="009B7F77"/>
    <w:rsid w:val="009C491B"/>
    <w:rsid w:val="009D2C35"/>
    <w:rsid w:val="009D763A"/>
    <w:rsid w:val="009E498A"/>
    <w:rsid w:val="009F0EEF"/>
    <w:rsid w:val="009F21A0"/>
    <w:rsid w:val="009F502C"/>
    <w:rsid w:val="00A042A7"/>
    <w:rsid w:val="00A047CE"/>
    <w:rsid w:val="00A0495A"/>
    <w:rsid w:val="00A05058"/>
    <w:rsid w:val="00A110D8"/>
    <w:rsid w:val="00A24E43"/>
    <w:rsid w:val="00A26DA5"/>
    <w:rsid w:val="00A27915"/>
    <w:rsid w:val="00A279FB"/>
    <w:rsid w:val="00A30825"/>
    <w:rsid w:val="00A30887"/>
    <w:rsid w:val="00A326CF"/>
    <w:rsid w:val="00A35267"/>
    <w:rsid w:val="00A4026E"/>
    <w:rsid w:val="00A4156F"/>
    <w:rsid w:val="00A43C61"/>
    <w:rsid w:val="00A43FED"/>
    <w:rsid w:val="00A44067"/>
    <w:rsid w:val="00A45FB6"/>
    <w:rsid w:val="00A51945"/>
    <w:rsid w:val="00A52F41"/>
    <w:rsid w:val="00A633A9"/>
    <w:rsid w:val="00A64A41"/>
    <w:rsid w:val="00A71D81"/>
    <w:rsid w:val="00A74419"/>
    <w:rsid w:val="00A8451C"/>
    <w:rsid w:val="00A84BBA"/>
    <w:rsid w:val="00A971D7"/>
    <w:rsid w:val="00AA2115"/>
    <w:rsid w:val="00AA4510"/>
    <w:rsid w:val="00AB0D55"/>
    <w:rsid w:val="00AB285D"/>
    <w:rsid w:val="00AB32B0"/>
    <w:rsid w:val="00AC7832"/>
    <w:rsid w:val="00AD331B"/>
    <w:rsid w:val="00AE0EF6"/>
    <w:rsid w:val="00AE1116"/>
    <w:rsid w:val="00AF0420"/>
    <w:rsid w:val="00AF1095"/>
    <w:rsid w:val="00AF10F6"/>
    <w:rsid w:val="00AF3452"/>
    <w:rsid w:val="00AF38EF"/>
    <w:rsid w:val="00AF71B1"/>
    <w:rsid w:val="00B051E5"/>
    <w:rsid w:val="00B10900"/>
    <w:rsid w:val="00B20CB6"/>
    <w:rsid w:val="00B23314"/>
    <w:rsid w:val="00B50699"/>
    <w:rsid w:val="00B57A45"/>
    <w:rsid w:val="00B61D1B"/>
    <w:rsid w:val="00B6281E"/>
    <w:rsid w:val="00B62989"/>
    <w:rsid w:val="00B63241"/>
    <w:rsid w:val="00B6430F"/>
    <w:rsid w:val="00B658EB"/>
    <w:rsid w:val="00B81824"/>
    <w:rsid w:val="00B86AFC"/>
    <w:rsid w:val="00BA2054"/>
    <w:rsid w:val="00BA58CB"/>
    <w:rsid w:val="00BB7B85"/>
    <w:rsid w:val="00BC4680"/>
    <w:rsid w:val="00BC50C6"/>
    <w:rsid w:val="00BC63ED"/>
    <w:rsid w:val="00BD15D1"/>
    <w:rsid w:val="00BD3CFE"/>
    <w:rsid w:val="00BD4638"/>
    <w:rsid w:val="00BD4DF1"/>
    <w:rsid w:val="00BD598F"/>
    <w:rsid w:val="00BD61DD"/>
    <w:rsid w:val="00BE2DE7"/>
    <w:rsid w:val="00BE3EE6"/>
    <w:rsid w:val="00BE497F"/>
    <w:rsid w:val="00BE56CD"/>
    <w:rsid w:val="00BE761B"/>
    <w:rsid w:val="00BE78EC"/>
    <w:rsid w:val="00BE7F24"/>
    <w:rsid w:val="00BF0465"/>
    <w:rsid w:val="00BF3D8C"/>
    <w:rsid w:val="00BF656C"/>
    <w:rsid w:val="00C0063D"/>
    <w:rsid w:val="00C0133B"/>
    <w:rsid w:val="00C03979"/>
    <w:rsid w:val="00C04CD5"/>
    <w:rsid w:val="00C0788F"/>
    <w:rsid w:val="00C14DBB"/>
    <w:rsid w:val="00C15536"/>
    <w:rsid w:val="00C17931"/>
    <w:rsid w:val="00C2036E"/>
    <w:rsid w:val="00C26898"/>
    <w:rsid w:val="00C34295"/>
    <w:rsid w:val="00C37B96"/>
    <w:rsid w:val="00C47476"/>
    <w:rsid w:val="00C5340A"/>
    <w:rsid w:val="00C56163"/>
    <w:rsid w:val="00C62F02"/>
    <w:rsid w:val="00C64326"/>
    <w:rsid w:val="00C64525"/>
    <w:rsid w:val="00C7078E"/>
    <w:rsid w:val="00C7676F"/>
    <w:rsid w:val="00C811CD"/>
    <w:rsid w:val="00C83172"/>
    <w:rsid w:val="00C85721"/>
    <w:rsid w:val="00C916FD"/>
    <w:rsid w:val="00C95C2E"/>
    <w:rsid w:val="00C95D2A"/>
    <w:rsid w:val="00CA7756"/>
    <w:rsid w:val="00CB021E"/>
    <w:rsid w:val="00CB0512"/>
    <w:rsid w:val="00CC4F4D"/>
    <w:rsid w:val="00CD0334"/>
    <w:rsid w:val="00CE3A80"/>
    <w:rsid w:val="00CE445A"/>
    <w:rsid w:val="00CF0B36"/>
    <w:rsid w:val="00CF2D15"/>
    <w:rsid w:val="00CF42C5"/>
    <w:rsid w:val="00CF65FE"/>
    <w:rsid w:val="00D01B08"/>
    <w:rsid w:val="00D02EAB"/>
    <w:rsid w:val="00D05A2D"/>
    <w:rsid w:val="00D11C70"/>
    <w:rsid w:val="00D144B4"/>
    <w:rsid w:val="00D2186A"/>
    <w:rsid w:val="00D233FC"/>
    <w:rsid w:val="00D402DB"/>
    <w:rsid w:val="00D576F7"/>
    <w:rsid w:val="00D72BCC"/>
    <w:rsid w:val="00D76581"/>
    <w:rsid w:val="00D81887"/>
    <w:rsid w:val="00D82B0B"/>
    <w:rsid w:val="00D84CC3"/>
    <w:rsid w:val="00D86124"/>
    <w:rsid w:val="00DA0A81"/>
    <w:rsid w:val="00DA0C63"/>
    <w:rsid w:val="00DA36B2"/>
    <w:rsid w:val="00DA4C40"/>
    <w:rsid w:val="00DA766E"/>
    <w:rsid w:val="00DB0F20"/>
    <w:rsid w:val="00DB12E7"/>
    <w:rsid w:val="00DB188E"/>
    <w:rsid w:val="00DB37C8"/>
    <w:rsid w:val="00DB67E6"/>
    <w:rsid w:val="00DC3DD7"/>
    <w:rsid w:val="00DC50C6"/>
    <w:rsid w:val="00DD0645"/>
    <w:rsid w:val="00DD11D6"/>
    <w:rsid w:val="00DD17DF"/>
    <w:rsid w:val="00DD1C00"/>
    <w:rsid w:val="00DD2E1F"/>
    <w:rsid w:val="00DD47DC"/>
    <w:rsid w:val="00DD6187"/>
    <w:rsid w:val="00DE2229"/>
    <w:rsid w:val="00DE428A"/>
    <w:rsid w:val="00DE45AE"/>
    <w:rsid w:val="00DE59AE"/>
    <w:rsid w:val="00DF1EE8"/>
    <w:rsid w:val="00DF41E6"/>
    <w:rsid w:val="00DF4965"/>
    <w:rsid w:val="00DF516C"/>
    <w:rsid w:val="00DF7B3E"/>
    <w:rsid w:val="00E11D23"/>
    <w:rsid w:val="00E2641D"/>
    <w:rsid w:val="00E31170"/>
    <w:rsid w:val="00E31E8E"/>
    <w:rsid w:val="00E441E6"/>
    <w:rsid w:val="00E47FB4"/>
    <w:rsid w:val="00E63616"/>
    <w:rsid w:val="00E71774"/>
    <w:rsid w:val="00E808A6"/>
    <w:rsid w:val="00E81C7B"/>
    <w:rsid w:val="00E82A02"/>
    <w:rsid w:val="00E95866"/>
    <w:rsid w:val="00E9652C"/>
    <w:rsid w:val="00E97B7E"/>
    <w:rsid w:val="00EA2032"/>
    <w:rsid w:val="00EA51FD"/>
    <w:rsid w:val="00EB029C"/>
    <w:rsid w:val="00ED1933"/>
    <w:rsid w:val="00ED1C4B"/>
    <w:rsid w:val="00ED2ACD"/>
    <w:rsid w:val="00ED5A16"/>
    <w:rsid w:val="00ED72C4"/>
    <w:rsid w:val="00EF0382"/>
    <w:rsid w:val="00EF0F2A"/>
    <w:rsid w:val="00EF28A2"/>
    <w:rsid w:val="00EF7ED5"/>
    <w:rsid w:val="00F00468"/>
    <w:rsid w:val="00F10422"/>
    <w:rsid w:val="00F15C6C"/>
    <w:rsid w:val="00F232C5"/>
    <w:rsid w:val="00F24ECA"/>
    <w:rsid w:val="00F4054B"/>
    <w:rsid w:val="00F449CD"/>
    <w:rsid w:val="00F53726"/>
    <w:rsid w:val="00F627AE"/>
    <w:rsid w:val="00F633AB"/>
    <w:rsid w:val="00F65B93"/>
    <w:rsid w:val="00F83934"/>
    <w:rsid w:val="00F869E5"/>
    <w:rsid w:val="00F932C6"/>
    <w:rsid w:val="00F94969"/>
    <w:rsid w:val="00F96869"/>
    <w:rsid w:val="00FA3D4A"/>
    <w:rsid w:val="00FB4608"/>
    <w:rsid w:val="00FC56C0"/>
    <w:rsid w:val="00FD24C5"/>
    <w:rsid w:val="00FD45B8"/>
    <w:rsid w:val="00FD618C"/>
    <w:rsid w:val="00FE1C84"/>
    <w:rsid w:val="00FE37C6"/>
    <w:rsid w:val="00FE455A"/>
    <w:rsid w:val="00FF0D12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B32B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32B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B32B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2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B32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B32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basedOn w:val="a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4.xml"/><Relationship Id="rId4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themeOverride" Target="../theme/themeOverride5.xml"/><Relationship Id="rId5" Type="http://schemas.openxmlformats.org/officeDocument/2006/relationships/package" Target="../embeddings/_____Microsoft_Office_Excel5.xlsx"/><Relationship Id="rId4" Type="http://schemas.openxmlformats.org/officeDocument/2006/relationships/image" Target="../media/image8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7.xlsx"/><Relationship Id="rId2" Type="http://schemas.openxmlformats.org/officeDocument/2006/relationships/image" Target="../media/image9.jpeg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Демография населения Кетовский</a:t>
            </a:r>
            <a:r>
              <a:rPr lang="ru-RU" baseline="0"/>
              <a:t> район</a:t>
            </a:r>
            <a:r>
              <a:rPr lang="ru-RU"/>
              <a:t>, чел</a:t>
            </a:r>
          </a:p>
        </c:rich>
      </c:tx>
      <c:layout>
        <c:manualLayout>
          <c:xMode val="edge"/>
          <c:yMode val="edge"/>
          <c:x val="0.21102362204724409"/>
          <c:y val="3.9647683574437056E-2"/>
        </c:manualLayout>
      </c:layout>
      <c:spPr>
        <a:gradFill rotWithShape="0">
          <a:gsLst>
            <a:gs pos="0">
              <a:srgbClr val="CCFFFF"/>
            </a:gs>
            <a:gs pos="50000">
              <a:srgbClr val="C0C0C0"/>
            </a:gs>
            <a:gs pos="100000">
              <a:srgbClr val="CCFFFF"/>
            </a:gs>
          </a:gsLst>
          <a:lin ang="18900000" scaled="1"/>
        </a:gradFill>
        <a:ln w="26516">
          <a:noFill/>
        </a:ln>
      </c:spPr>
    </c:title>
    <c:plotArea>
      <c:layout>
        <c:manualLayout>
          <c:layoutTarget val="inner"/>
          <c:xMode val="edge"/>
          <c:yMode val="edge"/>
          <c:x val="0.11636828644501325"/>
          <c:y val="0.17996289424860856"/>
          <c:w val="0.76854219948849434"/>
          <c:h val="0.5714285714285758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FF9900"/>
                </a:gs>
              </a:gsLst>
              <a:lin ang="0" scaled="1"/>
            </a:gradFill>
            <a:ln w="13258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0"/>
                  <c:y val="0.11313807998484661"/>
                </c:manualLayout>
              </c:layout>
              <c:dLblPos val="outEnd"/>
              <c:showVal val="1"/>
            </c:dLbl>
            <c:spPr>
              <a:solidFill>
                <a:sysClr val="window" lastClr="FFFFFF"/>
              </a:solidFill>
              <a:ln w="26516">
                <a:noFill/>
              </a:ln>
            </c:spPr>
            <c:txPr>
              <a:bodyPr rot="-5400000" vert="horz"/>
              <a:lstStyle/>
              <a:p>
                <a:pPr algn="ctr">
                  <a:defRPr sz="8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End"/>
            <c:showVal val="1"/>
          </c:dLbls>
          <c:trendline>
            <c:trendlineType val="linear"/>
          </c:trendline>
          <c:cat>
            <c:numRef>
              <c:f>Sheet1!$B$1:$K$1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56713</c:v>
                </c:pt>
                <c:pt idx="1">
                  <c:v>58814</c:v>
                </c:pt>
                <c:pt idx="2">
                  <c:v>60313</c:v>
                </c:pt>
                <c:pt idx="3">
                  <c:v>60900</c:v>
                </c:pt>
                <c:pt idx="4">
                  <c:v>61028</c:v>
                </c:pt>
                <c:pt idx="5">
                  <c:v>61431</c:v>
                </c:pt>
                <c:pt idx="6">
                  <c:v>61600</c:v>
                </c:pt>
                <c:pt idx="7">
                  <c:v>61800</c:v>
                </c:pt>
                <c:pt idx="8">
                  <c:v>62000</c:v>
                </c:pt>
                <c:pt idx="9">
                  <c:v>62200</c:v>
                </c:pt>
              </c:numCache>
            </c:numRef>
          </c:val>
        </c:ser>
        <c:gapWidth val="10"/>
        <c:axId val="190914944"/>
        <c:axId val="190916864"/>
      </c:barChart>
      <c:barChart>
        <c:barDir val="col"/>
        <c:grouping val="clustered"/>
        <c:ser>
          <c:idx val="2"/>
          <c:order val="2"/>
          <c:tx>
            <c:strRef>
              <c:f>Sheet1!$A$4</c:f>
              <c:strCache>
                <c:ptCount val="1"/>
                <c:pt idx="0">
                  <c:v>Миграционный прирост населения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325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301196704191542E-3"/>
                  <c:y val="5.814274684249292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8190394965552283E-3"/>
                  <c:y val="-1.024025674932770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9243414249794015E-4"/>
                  <c:y val="5.909097662808508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0381514607179514E-3"/>
                  <c:y val="2.648965623127255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6.3067328218442188E-4"/>
                  <c:y val="6.186153168011342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5025173740075255E-4"/>
                  <c:y val="5.782597487814072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8451965536964606E-3"/>
                  <c:y val="5.9576708962335134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6.0016621733931783E-4"/>
                  <c:y val="6.2454961683974387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8.5640337181263314E-3"/>
                  <c:y val="5.946768473415764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3.5680681424256188E-3"/>
                  <c:y val="4.9353205849269312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2371703086097501E-3"/>
                  <c:y val="4.291455078310322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9.4626091589357537E-4"/>
                  <c:y val="4.8768197313834194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1.3590430197097782E-3"/>
                  <c:y val="6.5521054596251307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1.5782315617902992E-3"/>
                  <c:y val="6.1484048335843582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2.5968824113676444E-3"/>
                  <c:y val="0.12532810770671637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2.7245048953033796E-3"/>
                  <c:y val="0.12305005538426061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1.7621374649637259E-3"/>
                  <c:y val="6.8551518456019547E-2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2.3746204286440877E-3"/>
                  <c:y val="7.0754161627826023E-2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 val="0"/>
                  <c:y val="4.6485261289718964E-2"/>
                </c:manualLayout>
              </c:layout>
              <c:dLblPos val="outEnd"/>
              <c:showVal val="1"/>
            </c:dLbl>
            <c:spPr>
              <a:noFill/>
              <a:ln w="26516">
                <a:noFill/>
              </a:ln>
            </c:spPr>
            <c:txPr>
              <a:bodyPr/>
              <a:lstStyle/>
              <a:p>
                <a:pPr>
                  <a:defRPr sz="898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2214</c:v>
                </c:pt>
                <c:pt idx="1">
                  <c:v>1877</c:v>
                </c:pt>
                <c:pt idx="2">
                  <c:v>1002</c:v>
                </c:pt>
                <c:pt idx="3">
                  <c:v>158</c:v>
                </c:pt>
                <c:pt idx="4">
                  <c:v>284</c:v>
                </c:pt>
                <c:pt idx="5">
                  <c:v>841</c:v>
                </c:pt>
                <c:pt idx="6">
                  <c:v>230</c:v>
                </c:pt>
                <c:pt idx="7">
                  <c:v>250</c:v>
                </c:pt>
                <c:pt idx="8">
                  <c:v>270</c:v>
                </c:pt>
                <c:pt idx="9">
                  <c:v>290</c:v>
                </c:pt>
              </c:numCache>
            </c:numRef>
          </c:val>
        </c:ser>
        <c:gapWidth val="20"/>
        <c:axId val="193397888"/>
        <c:axId val="193399424"/>
      </c:barChart>
      <c:lineChart>
        <c:grouping val="standard"/>
        <c:varyColors val="1"/>
        <c:ser>
          <c:idx val="0"/>
          <c:order val="1"/>
          <c:tx>
            <c:strRef>
              <c:f>Sheet1!$A$3</c:f>
              <c:strCache>
                <c:ptCount val="1"/>
                <c:pt idx="0">
                  <c:v>Естественный прирост населения</c:v>
                </c:pt>
              </c:strCache>
            </c:strRef>
          </c:tx>
          <c:spPr>
            <a:ln w="13258">
              <a:pattFill prst="pct75">
                <a:fgClr>
                  <a:srgbClr val="00008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6"/>
            <c:spPr>
              <a:solidFill>
                <a:srgbClr val="00008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806937214088216E-2"/>
                  <c:y val="5.137383321552698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272968684900797E-2"/>
                  <c:y val="6.951007975874359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140843529787638E-2"/>
                  <c:y val="5.535018250796149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406351854162435E-2"/>
                  <c:y val="3.337320277947010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069978158128589E-2"/>
                  <c:y val="3.908398493781500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476758817761577E-2"/>
                  <c:y val="3.523603377475435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6419953117832492E-2"/>
                  <c:y val="3.908398493781500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8629222656628152E-2"/>
                  <c:y val="5.15033266505169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769759739412586E-2"/>
                  <c:y val="4.681085308534743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4582710832979272E-2"/>
                  <c:y val="4.944985763399631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554502416567721E-2"/>
                  <c:y val="-3.60815840038618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4932541201996806E-2"/>
                  <c:y val="-3.629084346471850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7469826700787009E-2"/>
                  <c:y val="-3.5206057028417635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5282540587500535E-2"/>
                  <c:y val="-3.235178233030099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6245022936684149E-2"/>
                  <c:y val="-3.0824623828546248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3.2482933673791362E-2"/>
                  <c:y val="-4.1138501873784386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3.502005700932348E-2"/>
                  <c:y val="-4.9482849351814122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3.7557342508113913E-2"/>
                  <c:y val="-5.3421910486231433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3.5011047371941925E-2"/>
                  <c:y val="-4.3579932459111508E-2"/>
                </c:manualLayout>
              </c:layout>
              <c:dLblPos val="r"/>
              <c:showVal val="1"/>
            </c:dLbl>
            <c:spPr>
              <a:solidFill>
                <a:sysClr val="window" lastClr="FFFFFF"/>
              </a:solidFill>
              <a:ln w="26516">
                <a:noFill/>
              </a:ln>
            </c:spPr>
            <c:txPr>
              <a:bodyPr/>
              <a:lstStyle/>
              <a:p>
                <a:pPr>
                  <a:defRPr sz="898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41</c:v>
                </c:pt>
                <c:pt idx="1">
                  <c:v>71</c:v>
                </c:pt>
                <c:pt idx="2">
                  <c:v>68</c:v>
                </c:pt>
                <c:pt idx="3">
                  <c:v>-33</c:v>
                </c:pt>
                <c:pt idx="4">
                  <c:v>-158</c:v>
                </c:pt>
                <c:pt idx="5">
                  <c:v>-161</c:v>
                </c:pt>
                <c:pt idx="6">
                  <c:v>-150</c:v>
                </c:pt>
                <c:pt idx="7">
                  <c:v>-100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marker val="1"/>
        <c:axId val="193397888"/>
        <c:axId val="193399424"/>
      </c:lineChart>
      <c:catAx>
        <c:axId val="190914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4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7083885428796557"/>
              <c:y val="0.83344412902746556"/>
            </c:manualLayout>
          </c:layout>
          <c:spPr>
            <a:noFill/>
            <a:ln w="26516">
              <a:noFill/>
            </a:ln>
          </c:spPr>
        </c:title>
        <c:numFmt formatCode="General" sourceLinked="1"/>
        <c:majorTickMark val="cross"/>
        <c:tickLblPos val="nextTo"/>
        <c:spPr>
          <a:ln w="331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0916864"/>
        <c:crosses val="autoZero"/>
        <c:lblAlgn val="ctr"/>
        <c:lblOffset val="100"/>
        <c:tickLblSkip val="1"/>
        <c:tickMarkSkip val="1"/>
      </c:catAx>
      <c:valAx>
        <c:axId val="190916864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104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население</a:t>
                </a:r>
              </a:p>
            </c:rich>
          </c:tx>
          <c:layout>
            <c:manualLayout>
              <c:xMode val="edge"/>
              <c:yMode val="edge"/>
              <c:x val="5.2867927035769903E-3"/>
              <c:y val="0.35528870271925705"/>
            </c:manualLayout>
          </c:layout>
          <c:spPr>
            <a:noFill/>
            <a:ln w="26516">
              <a:noFill/>
            </a:ln>
          </c:spPr>
        </c:title>
        <c:numFmt formatCode="General" sourceLinked="1"/>
        <c:majorTickMark val="cross"/>
        <c:tickLblPos val="nextTo"/>
        <c:spPr>
          <a:ln w="33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0914944"/>
        <c:crosses val="autoZero"/>
        <c:crossBetween val="between"/>
      </c:valAx>
      <c:catAx>
        <c:axId val="193397888"/>
        <c:scaling>
          <c:orientation val="minMax"/>
        </c:scaling>
        <c:delete val="1"/>
        <c:axPos val="b"/>
        <c:numFmt formatCode="General" sourceLinked="1"/>
        <c:tickLblPos val="nextTo"/>
        <c:crossAx val="193399424"/>
        <c:crosses val="autoZero"/>
        <c:lblAlgn val="ctr"/>
        <c:lblOffset val="100"/>
      </c:catAx>
      <c:valAx>
        <c:axId val="19339942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4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миграция</a:t>
                </a:r>
              </a:p>
            </c:rich>
          </c:tx>
          <c:layout>
            <c:manualLayout>
              <c:xMode val="edge"/>
              <c:yMode val="edge"/>
              <c:x val="0.94803149606299264"/>
              <c:y val="0.36123347372276138"/>
            </c:manualLayout>
          </c:layout>
          <c:spPr>
            <a:noFill/>
            <a:ln w="26516">
              <a:noFill/>
            </a:ln>
          </c:spPr>
        </c:title>
        <c:numFmt formatCode="General" sourceLinked="1"/>
        <c:majorTickMark val="cross"/>
        <c:minorTickMark val="out"/>
        <c:tickLblPos val="nextTo"/>
        <c:spPr>
          <a:ln w="33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3397888"/>
        <c:crosses val="max"/>
        <c:crossBetween val="between"/>
        <c:majorUnit val="200"/>
        <c:minorUnit val="100"/>
      </c:valAx>
      <c:spPr>
        <a:gradFill rotWithShape="0">
          <a:gsLst>
            <a:gs pos="0">
              <a:srgbClr val="FFFFCC"/>
            </a:gs>
            <a:gs pos="100000">
              <a:srgbClr val="FFCC99"/>
            </a:gs>
          </a:gsLst>
          <a:lin ang="5400000" scaled="1"/>
        </a:gradFill>
        <a:ln w="132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478260869565223E-2"/>
          <c:y val="0.87744804710983593"/>
          <c:w val="0.91176470588234848"/>
          <c:h val="0.12255195289016595"/>
        </c:manualLayout>
      </c:layout>
      <c:spPr>
        <a:solidFill>
          <a:srgbClr val="FFFFFF"/>
        </a:solidFill>
        <a:ln w="3315">
          <a:solidFill>
            <a:srgbClr val="000000"/>
          </a:solidFill>
          <a:prstDash val="solid"/>
        </a:ln>
      </c:spPr>
      <c:txPr>
        <a:bodyPr/>
        <a:lstStyle/>
        <a:p>
          <a:pPr>
            <a:defRPr sz="96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rect">
        <a:fillToRect l="100000" b="100000"/>
      </a:path>
    </a:gradFill>
    <a:ln>
      <a:noFill/>
    </a:ln>
  </c:spPr>
  <c:txPr>
    <a:bodyPr/>
    <a:lstStyle/>
    <a:p>
      <a:pPr>
        <a:defRPr sz="104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6" b="1"/>
            </a:pPr>
            <a:r>
              <a:rPr lang="ru-RU" sz="1396" b="1"/>
              <a:t>Распределение населения по основным возрастным группам,  тыс.человек.</a:t>
            </a:r>
          </a:p>
        </c:rich>
      </c:tx>
      <c:layout>
        <c:manualLayout>
          <c:xMode val="edge"/>
          <c:yMode val="edge"/>
          <c:x val="0.14829151973980781"/>
          <c:y val="2.355442411803757E-2"/>
        </c:manualLayout>
      </c:layout>
      <c:spPr>
        <a:noFill/>
        <a:ln w="26443">
          <a:noFill/>
        </a:ln>
      </c:spPr>
    </c:title>
    <c:view3D>
      <c:rotX val="11"/>
      <c:hPercent val="40"/>
      <c:rotY val="356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227214377407052E-2"/>
          <c:y val="7.0000000000000021E-2"/>
          <c:w val="0.85109114249037898"/>
          <c:h val="0.86000000000000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старше трудоспособного</c:v>
                </c:pt>
              </c:strCache>
            </c:strRef>
          </c:tx>
          <c:spPr>
            <a:solidFill>
              <a:srgbClr val="CC99FF"/>
            </a:solidFill>
            <a:ln w="1322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764843129259125E-3"/>
                  <c:y val="9.8750138627038228E-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3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0154411424679759E-2"/>
                  <c:y val="0.100263945880005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3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8153452921961912E-3"/>
                  <c:y val="0.12560413663080847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3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4.4770484842625788E-3"/>
                  <c:y val="0.1172099922368860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3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spPr>
              <a:noFill/>
              <a:ln w="26443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13.6</c:v>
                </c:pt>
                <c:pt idx="1">
                  <c:v>14.1</c:v>
                </c:pt>
                <c:pt idx="2">
                  <c:v>14.1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rgbClr val="FFFF00"/>
            </a:solidFill>
            <a:ln w="1322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066695825351921E-2"/>
                  <c:y val="-2.9292444968344572E-2"/>
                </c:manualLayout>
              </c:layout>
              <c:showVal val="1"/>
            </c:dLbl>
            <c:dLbl>
              <c:idx val="1"/>
              <c:layout>
                <c:manualLayout>
                  <c:x val="-4.38424798418226E-3"/>
                  <c:y val="-1.4544731180812545E-2"/>
                </c:manualLayout>
              </c:layout>
              <c:showVal val="1"/>
            </c:dLbl>
            <c:dLbl>
              <c:idx val="2"/>
              <c:layout>
                <c:manualLayout>
                  <c:x val="-3.934849699764759E-3"/>
                  <c:y val="7.7883856620984129E-4"/>
                </c:manualLayout>
              </c:layout>
              <c:showVal val="1"/>
            </c:dLbl>
            <c:dLbl>
              <c:idx val="3"/>
              <c:layout>
                <c:manualLayout>
                  <c:x val="-3.8105001879528484E-2"/>
                  <c:y val="-4.0789671165581513E-2"/>
                </c:manualLayout>
              </c:layout>
              <c:showVal val="1"/>
            </c:dLbl>
            <c:spPr>
              <a:solidFill>
                <a:srgbClr val="FFFF00"/>
              </a:solidFill>
              <a:ln w="26443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14.9</c:v>
                </c:pt>
                <c:pt idx="1">
                  <c:v>15.2</c:v>
                </c:pt>
                <c:pt idx="2">
                  <c:v>15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моложе трудоспособного</c:v>
                </c:pt>
              </c:strCache>
            </c:strRef>
          </c:tx>
          <c:spPr>
            <a:solidFill>
              <a:srgbClr val="00FF00"/>
            </a:solidFill>
            <a:ln w="1322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792891945634421E-3"/>
                  <c:y val="9.46351336364647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3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7771733418534084E-3"/>
                  <c:y val="7.48436287013419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3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6.2941678472785674E-4"/>
                  <c:y val="8.1162803593213248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3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60270903136574E-3"/>
                  <c:y val="9.7409892425418657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3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spPr>
              <a:noFill/>
              <a:ln w="26443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11.3</c:v>
                </c:pt>
                <c:pt idx="1">
                  <c:v>11.9</c:v>
                </c:pt>
                <c:pt idx="2">
                  <c:v>11.4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трудоспособное </c:v>
                </c:pt>
              </c:strCache>
            </c:strRef>
          </c:tx>
          <c:spPr>
            <a:solidFill>
              <a:srgbClr val="CCFFFF"/>
            </a:solidFill>
            <a:ln w="1322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1911743954206934E-3"/>
                  <c:y val="-3.4926535973199102E-3"/>
                </c:manualLayout>
              </c:layout>
              <c:showVal val="1"/>
            </c:dLbl>
            <c:dLbl>
              <c:idx val="1"/>
              <c:layout>
                <c:manualLayout>
                  <c:x val="-6.3251106894370674E-3"/>
                  <c:y val="-1.4019621146152121E-2"/>
                </c:manualLayout>
              </c:layout>
              <c:showVal val="1"/>
            </c:dLbl>
            <c:dLbl>
              <c:idx val="2"/>
              <c:layout>
                <c:manualLayout>
                  <c:x val="-8.4419476028494544E-3"/>
                  <c:y val="-1.311589439307368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spPr>
              <a:solidFill>
                <a:srgbClr val="4BACC6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36</c:v>
                </c:pt>
                <c:pt idx="1">
                  <c:v>35</c:v>
                </c:pt>
                <c:pt idx="2">
                  <c:v>35.5</c:v>
                </c:pt>
              </c:numCache>
            </c:numRef>
          </c:val>
        </c:ser>
        <c:gapDepth val="0"/>
        <c:shape val="box"/>
        <c:axId val="192545536"/>
        <c:axId val="192547072"/>
        <c:axId val="0"/>
      </c:bar3DChart>
      <c:catAx>
        <c:axId val="192545536"/>
        <c:scaling>
          <c:orientation val="minMax"/>
        </c:scaling>
        <c:axPos val="b"/>
        <c:numFmt formatCode="General" sourceLinked="1"/>
        <c:tickLblPos val="low"/>
        <c:spPr>
          <a:ln w="9916">
            <a:noFill/>
          </a:ln>
        </c:spPr>
        <c:txPr>
          <a:bodyPr rot="0" vert="horz"/>
          <a:lstStyle/>
          <a:p>
            <a:pPr>
              <a:defRPr sz="1197" b="1"/>
            </a:pPr>
            <a:endParaRPr lang="ru-RU"/>
          </a:p>
        </c:txPr>
        <c:crossAx val="192547072"/>
        <c:crosses val="autoZero"/>
        <c:auto val="1"/>
        <c:lblAlgn val="ctr"/>
        <c:lblOffset val="100"/>
        <c:tickLblSkip val="1"/>
        <c:tickMarkSkip val="1"/>
      </c:catAx>
      <c:valAx>
        <c:axId val="192547072"/>
        <c:scaling>
          <c:orientation val="minMax"/>
        </c:scaling>
        <c:axPos val="r"/>
        <c:numFmt formatCode="General" sourceLinked="1"/>
        <c:tickLblPos val="nextTo"/>
        <c:spPr>
          <a:ln w="3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/>
            </a:pPr>
            <a:endParaRPr lang="ru-RU"/>
          </a:p>
        </c:txPr>
        <c:crossAx val="192545536"/>
        <c:crosses val="max"/>
        <c:crossBetween val="between"/>
      </c:valAx>
      <c:spPr>
        <a:noFill/>
        <a:ln w="25328">
          <a:noFill/>
        </a:ln>
      </c:spPr>
    </c:plotArea>
    <c:legend>
      <c:legendPos val="r"/>
      <c:layout>
        <c:manualLayout>
          <c:xMode val="edge"/>
          <c:yMode val="edge"/>
          <c:x val="0.10397946084724007"/>
          <c:y val="0.8819999999999999"/>
          <c:w val="0.75481386392811711"/>
          <c:h val="0.11599999999999998"/>
        </c:manualLayout>
      </c:layout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66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7" b="1"/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1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45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45">
                <a:latin typeface="Times New Roman" pitchFamily="18" charset="0"/>
                <a:cs typeface="Times New Roman" pitchFamily="18" charset="0"/>
              </a:rPr>
              <a:t>Численность занятых на предприятиях малого бизнеса, чел.</a:t>
            </a:r>
          </a:p>
        </c:rich>
      </c:tx>
      <c:layout>
        <c:manualLayout>
          <c:xMode val="edge"/>
          <c:yMode val="edge"/>
          <c:x val="0.12828951370349093"/>
          <c:y val="2.0066737084693812E-2"/>
        </c:manualLayout>
      </c:layout>
      <c:spPr>
        <a:noFill/>
        <a:ln w="21170">
          <a:noFill/>
        </a:ln>
      </c:spPr>
    </c:title>
    <c:plotArea>
      <c:layout>
        <c:manualLayout>
          <c:layoutTarget val="inner"/>
          <c:xMode val="edge"/>
          <c:yMode val="edge"/>
          <c:x val="9.9827882960414324E-2"/>
          <c:y val="0.37254901960784598"/>
          <c:w val="0.88468158347676407"/>
          <c:h val="0.25980392156862747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занятых в сфере малого бизнеса</c:v>
                </c:pt>
              </c:strCache>
            </c:strRef>
          </c:tx>
          <c:spPr>
            <a:ln w="2117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214382557117941E-2"/>
                  <c:y val="8.981240963870515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823191870537566E-2"/>
                  <c:y val="6.929072646622111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9497790657641046E-2"/>
                  <c:y val="0.1029364076596869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1.7167404571180895E-2"/>
                  <c:y val="1.60918040939279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8597979158415281E-2"/>
                  <c:y val="-9.224590650443220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1101387876445033E-2"/>
                  <c:y val="-9.406136695010426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4147494396930534E-2"/>
                  <c:y val="-7.352034167301066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3726851458700328E-2"/>
                  <c:y val="-8.7583386020825479E-2"/>
                </c:manualLayout>
              </c:layout>
              <c:dLblPos val="r"/>
              <c:showVal val="1"/>
            </c:dLbl>
            <c:spPr>
              <a:solidFill>
                <a:sysClr val="window" lastClr="FFFFFF"/>
              </a:solidFill>
              <a:ln w="21170">
                <a:noFill/>
              </a:ln>
            </c:spPr>
            <c:txPr>
              <a:bodyPr/>
              <a:lstStyle/>
              <a:p>
                <a:pPr>
                  <a:defRPr sz="1067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2013г.-отчет</c:v>
                </c:pt>
                <c:pt idx="1">
                  <c:v>2014г.-отчет</c:v>
                </c:pt>
                <c:pt idx="2">
                  <c:v>2015г.-отчет</c:v>
                </c:pt>
                <c:pt idx="3">
                  <c:v>2016г.-отчет</c:v>
                </c:pt>
                <c:pt idx="4">
                  <c:v>2017г.- оценка</c:v>
                </c:pt>
                <c:pt idx="5">
                  <c:v>2018г.-прогноз</c:v>
                </c:pt>
                <c:pt idx="6">
                  <c:v>2019г. - прогноз</c:v>
                </c:pt>
                <c:pt idx="7">
                  <c:v>2020г. - прогноз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5107</c:v>
                </c:pt>
                <c:pt idx="1">
                  <c:v>5281</c:v>
                </c:pt>
                <c:pt idx="2">
                  <c:v>5382</c:v>
                </c:pt>
                <c:pt idx="3">
                  <c:v>5095</c:v>
                </c:pt>
                <c:pt idx="4">
                  <c:v>5065</c:v>
                </c:pt>
                <c:pt idx="5">
                  <c:v>5082</c:v>
                </c:pt>
                <c:pt idx="6">
                  <c:v>5092</c:v>
                </c:pt>
                <c:pt idx="7">
                  <c:v>5103</c:v>
                </c:pt>
              </c:numCache>
            </c:numRef>
          </c:val>
        </c:ser>
        <c:marker val="1"/>
        <c:axId val="188401920"/>
        <c:axId val="192434176"/>
      </c:lineChart>
      <c:catAx>
        <c:axId val="188401920"/>
        <c:scaling>
          <c:orientation val="minMax"/>
        </c:scaling>
        <c:axPos val="b"/>
        <c:numFmt formatCode="General" sourceLinked="1"/>
        <c:tickLblPos val="nextTo"/>
        <c:spPr>
          <a:ln w="26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2434176"/>
        <c:crosses val="autoZero"/>
        <c:auto val="1"/>
        <c:lblAlgn val="ctr"/>
        <c:lblOffset val="100"/>
        <c:tickLblSkip val="1"/>
        <c:tickMarkSkip val="1"/>
      </c:catAx>
      <c:valAx>
        <c:axId val="192434176"/>
        <c:scaling>
          <c:orientation val="minMax"/>
        </c:scaling>
        <c:axPos val="l"/>
        <c:majorGridlines>
          <c:spPr>
            <a:ln w="264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66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чел.</a:t>
                </a:r>
              </a:p>
            </c:rich>
          </c:tx>
          <c:layout>
            <c:manualLayout>
              <c:xMode val="edge"/>
              <c:yMode val="edge"/>
              <c:x val="4.9342705552364004E-3"/>
              <c:y val="0.19732427501440369"/>
            </c:manualLayout>
          </c:layout>
          <c:spPr>
            <a:noFill/>
            <a:ln w="21170">
              <a:noFill/>
            </a:ln>
          </c:spPr>
        </c:title>
        <c:numFmt formatCode="General" sourceLinked="1"/>
        <c:tickLblPos val="nextTo"/>
        <c:spPr>
          <a:ln w="26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401920"/>
        <c:crosses val="autoZero"/>
        <c:crossBetween val="between"/>
      </c:valAx>
      <c:spPr>
        <a:solidFill>
          <a:srgbClr val="CCFFFF"/>
        </a:solidFill>
        <a:ln w="10586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 b="1"/>
            </a:pPr>
            <a:r>
              <a:rPr lang="ru-RU" sz="1399" b="1"/>
              <a:t>Объём</a:t>
            </a:r>
            <a:r>
              <a:rPr lang="ru-RU" sz="1399" b="1" baseline="0"/>
              <a:t> отгруженных товаров собственного производства, выполнено работ и услуг  собственными силами по отраслям, млн.руб.</a:t>
            </a:r>
            <a:endParaRPr lang="ru-RU" sz="1400" b="1"/>
          </a:p>
        </c:rich>
      </c:tx>
      <c:layout>
        <c:manualLayout>
          <c:xMode val="edge"/>
          <c:yMode val="edge"/>
          <c:x val="0.14829148795425093"/>
          <c:y val="2.3554292826798714E-2"/>
        </c:manualLayout>
      </c:layout>
      <c:spPr>
        <a:noFill/>
        <a:ln w="26500">
          <a:noFill/>
        </a:ln>
      </c:spPr>
    </c:title>
    <c:view3D>
      <c:rotX val="11"/>
      <c:hPercent val="40"/>
      <c:rotY val="356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71131339401821E-2"/>
          <c:y val="7.4135090609555185E-2"/>
          <c:w val="0.8465539661898569"/>
          <c:h val="0.86655683690280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промышленной продукции, всего, млн.руб.</c:v>
                </c:pt>
              </c:strCache>
            </c:strRef>
          </c:tx>
          <c:spPr>
            <a:solidFill>
              <a:srgbClr val="FF0000"/>
            </a:solidFill>
            <a:ln w="132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764843129259125E-3"/>
                  <c:y val="9.8750138627038228E-2"/>
                </c:manualLayout>
              </c:layout>
              <c:showVal val="1"/>
            </c:dLbl>
            <c:dLbl>
              <c:idx val="1"/>
              <c:layout>
                <c:manualLayout>
                  <c:x val="-1.0154411424679759E-2"/>
                  <c:y val="0.10026394588000527"/>
                </c:manualLayout>
              </c:layout>
              <c:showVal val="1"/>
            </c:dLbl>
            <c:dLbl>
              <c:idx val="2"/>
              <c:layout>
                <c:manualLayout>
                  <c:x val="-3.8153452921961951E-3"/>
                  <c:y val="0.12560413663080847"/>
                </c:manualLayout>
              </c:layout>
              <c:showVal val="1"/>
            </c:dLbl>
            <c:dLbl>
              <c:idx val="3"/>
              <c:layout>
                <c:manualLayout>
                  <c:x val="4.4770484842625935E-3"/>
                  <c:y val="0.11720999223688602"/>
                </c:manualLayout>
              </c:layout>
              <c:showVal val="1"/>
            </c:dLbl>
            <c:spPr>
              <a:solidFill>
                <a:srgbClr val="C0504D">
                  <a:lumMod val="20000"/>
                  <a:lumOff val="80000"/>
                </a:srgbClr>
              </a:solidFill>
              <a:ln w="26500">
                <a:noFill/>
              </a:ln>
            </c:spPr>
            <c:txPr>
              <a:bodyPr/>
              <a:lstStyle/>
              <a:p>
                <a:pPr>
                  <a:defRPr sz="1099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1766.3</c:v>
                </c:pt>
                <c:pt idx="1">
                  <c:v>1860.5</c:v>
                </c:pt>
                <c:pt idx="2">
                  <c:v>1861.4</c:v>
                </c:pt>
                <c:pt idx="3">
                  <c:v>1860.2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добыча полезных ископаемых, млн.руб.</c:v>
                </c:pt>
              </c:strCache>
            </c:strRef>
          </c:tx>
          <c:spPr>
            <a:solidFill>
              <a:srgbClr val="FFFF00"/>
            </a:solidFill>
            <a:ln w="132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0666958253519241E-2"/>
                  <c:y val="-2.9292444968344575E-2"/>
                </c:manualLayout>
              </c:layout>
              <c:showVal val="1"/>
            </c:dLbl>
            <c:dLbl>
              <c:idx val="1"/>
              <c:layout>
                <c:manualLayout>
                  <c:x val="-2.5467900221290442E-2"/>
                  <c:y val="-3.4621692846911405E-2"/>
                </c:manualLayout>
              </c:layout>
              <c:showVal val="1"/>
            </c:dLbl>
            <c:dLbl>
              <c:idx val="2"/>
              <c:layout>
                <c:manualLayout>
                  <c:x val="-2.5018518654335586E-2"/>
                  <c:y val="-3.9375140402281211E-2"/>
                </c:manualLayout>
              </c:layout>
              <c:showVal val="1"/>
            </c:dLbl>
            <c:dLbl>
              <c:idx val="3"/>
              <c:layout>
                <c:manualLayout>
                  <c:x val="-3.8105001879528491E-2"/>
                  <c:y val="-4.0789671165581513E-2"/>
                </c:manualLayout>
              </c:layout>
              <c:showVal val="1"/>
            </c:dLbl>
            <c:spPr>
              <a:solidFill>
                <a:srgbClr val="FFFF00"/>
              </a:solidFill>
              <a:ln w="26500">
                <a:noFill/>
              </a:ln>
            </c:spPr>
            <c:txPr>
              <a:bodyPr/>
              <a:lstStyle/>
              <a:p>
                <a:pPr>
                  <a:defRPr sz="1099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267.8</c:v>
                </c:pt>
                <c:pt idx="1">
                  <c:v>292.10000000000002</c:v>
                </c:pt>
                <c:pt idx="2">
                  <c:v>405.6</c:v>
                </c:pt>
                <c:pt idx="3">
                  <c:v>405.6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обрабатывающие производства, млн.руб.</c:v>
                </c:pt>
              </c:strCache>
            </c:strRef>
          </c:tx>
          <c:spPr>
            <a:solidFill>
              <a:srgbClr val="00B0F0"/>
            </a:solidFill>
            <a:ln w="132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792891945634421E-3"/>
                  <c:y val="9.4635133636464724E-2"/>
                </c:manualLayout>
              </c:layout>
              <c:showVal val="1"/>
            </c:dLbl>
            <c:dLbl>
              <c:idx val="1"/>
              <c:layout>
                <c:manualLayout>
                  <c:x val="3.7771733418534167E-3"/>
                  <c:y val="7.4843628701342022E-2"/>
                </c:manualLayout>
              </c:layout>
              <c:showVal val="1"/>
            </c:dLbl>
            <c:dLbl>
              <c:idx val="2"/>
              <c:layout>
                <c:manualLayout>
                  <c:x val="-6.2941678472785707E-4"/>
                  <c:y val="8.1162803593213248E-2"/>
                </c:manualLayout>
              </c:layout>
              <c:showVal val="1"/>
            </c:dLbl>
            <c:dLbl>
              <c:idx val="3"/>
              <c:layout>
                <c:manualLayout>
                  <c:x val="2.3602709031365792E-3"/>
                  <c:y val="9.740989242541867E-2"/>
                </c:manualLayout>
              </c:layout>
              <c:showVal val="1"/>
            </c:dLbl>
            <c:spPr>
              <a:solidFill>
                <a:srgbClr val="1F497D">
                  <a:lumMod val="20000"/>
                  <a:lumOff val="80000"/>
                </a:srgbClr>
              </a:solidFill>
              <a:ln w="26500">
                <a:noFill/>
              </a:ln>
            </c:spPr>
            <c:txPr>
              <a:bodyPr/>
              <a:lstStyle/>
              <a:p>
                <a:pPr>
                  <a:defRPr sz="1099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1431.3</c:v>
                </c:pt>
                <c:pt idx="1">
                  <c:v>1525.3</c:v>
                </c:pt>
                <c:pt idx="2">
                  <c:v>1425.2</c:v>
                </c:pt>
                <c:pt idx="3">
                  <c:v>1425.2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производство и распеределение электроэнергии, газа и воды, млн.руб.</c:v>
                </c:pt>
              </c:strCache>
            </c:strRef>
          </c:tx>
          <c:spPr>
            <a:solidFill>
              <a:srgbClr val="00FF00"/>
            </a:solidFill>
            <a:ln w="132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3506816398293513E-3"/>
                  <c:y val="-5.368500129230485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dLbl>
              <c:idx val="2"/>
              <c:layout>
                <c:manualLayout>
                  <c:x val="-2.1168938799431139E-3"/>
                  <c:y val="-7.669285898900696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spPr>
              <a:solidFill>
                <a:srgbClr val="00FF00"/>
              </a:solidFill>
            </c:spPr>
            <c:txPr>
              <a:bodyPr/>
              <a:lstStyle/>
              <a:p>
                <a:pPr>
                  <a:defRPr sz="1099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67.2</c:v>
                </c:pt>
                <c:pt idx="1">
                  <c:v>43</c:v>
                </c:pt>
                <c:pt idx="2">
                  <c:v>30.6</c:v>
                </c:pt>
                <c:pt idx="3">
                  <c:v>30.6</c:v>
                </c:pt>
              </c:numCache>
            </c:numRef>
          </c:val>
        </c:ser>
        <c:gapDepth val="0"/>
        <c:shape val="box"/>
        <c:axId val="192622592"/>
        <c:axId val="192624128"/>
        <c:axId val="0"/>
      </c:bar3DChart>
      <c:catAx>
        <c:axId val="192622592"/>
        <c:scaling>
          <c:orientation val="minMax"/>
        </c:scaling>
        <c:axPos val="b"/>
        <c:numFmt formatCode="General" sourceLinked="1"/>
        <c:tickLblPos val="low"/>
        <c:spPr>
          <a:ln w="9937">
            <a:noFill/>
          </a:ln>
        </c:spPr>
        <c:txPr>
          <a:bodyPr rot="0" vert="horz"/>
          <a:lstStyle/>
          <a:p>
            <a:pPr>
              <a:defRPr sz="1199" b="1"/>
            </a:pPr>
            <a:endParaRPr lang="ru-RU"/>
          </a:p>
        </c:txPr>
        <c:crossAx val="192624128"/>
        <c:crosses val="autoZero"/>
        <c:auto val="1"/>
        <c:lblAlgn val="ctr"/>
        <c:lblOffset val="100"/>
        <c:tickLblSkip val="1"/>
        <c:tickMarkSkip val="1"/>
      </c:catAx>
      <c:valAx>
        <c:axId val="192624128"/>
        <c:scaling>
          <c:orientation val="minMax"/>
        </c:scaling>
        <c:axPos val="r"/>
        <c:numFmt formatCode="General" sourceLinked="1"/>
        <c:tickLblPos val="nextTo"/>
        <c:spPr>
          <a:ln w="33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/>
            </a:pPr>
            <a:endParaRPr lang="ru-RU"/>
          </a:p>
        </c:txPr>
        <c:crossAx val="192622592"/>
        <c:crosses val="max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4.2912873862158814E-2"/>
          <c:y val="0.84514003294893381"/>
          <c:w val="0.9011703511053315"/>
          <c:h val="0.15485996705107091"/>
        </c:manualLayout>
      </c:layout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3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3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97"/>
              <a:t>Динамика оборота розничной торговли по годам в действующих ценах, млн.руб.</a:t>
            </a:r>
          </a:p>
        </c:rich>
      </c:tx>
      <c:layout>
        <c:manualLayout>
          <c:xMode val="edge"/>
          <c:yMode val="edge"/>
          <c:x val="0.13658540278619186"/>
          <c:y val="2.0325227941548629E-2"/>
        </c:manualLayout>
      </c:layout>
      <c:spPr>
        <a:noFill/>
        <a:ln w="26849">
          <a:noFill/>
        </a:ln>
      </c:spPr>
    </c:title>
    <c:plotArea>
      <c:layout>
        <c:manualLayout>
          <c:layoutTarget val="inner"/>
          <c:xMode val="edge"/>
          <c:yMode val="edge"/>
          <c:x val="5.6338028169014079E-2"/>
          <c:y val="0.18681318681318804"/>
          <c:w val="0.89500640204865567"/>
          <c:h val="0.62197802197802265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3424">
              <a:solidFill>
                <a:srgbClr val="000000"/>
              </a:solidFill>
              <a:prstDash val="solid"/>
            </a:ln>
          </c:spPr>
          <c:dLbls>
            <c:spPr>
              <a:noFill/>
              <a:ln w="2684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2535.9</c:v>
                </c:pt>
                <c:pt idx="1">
                  <c:v>2682.8</c:v>
                </c:pt>
                <c:pt idx="2">
                  <c:v>2861.4</c:v>
                </c:pt>
                <c:pt idx="3">
                  <c:v>3094.4</c:v>
                </c:pt>
                <c:pt idx="4">
                  <c:v>3095.3</c:v>
                </c:pt>
                <c:pt idx="5">
                  <c:v>3163.4</c:v>
                </c:pt>
                <c:pt idx="6">
                  <c:v>3293.14</c:v>
                </c:pt>
                <c:pt idx="7">
                  <c:v>3424.8</c:v>
                </c:pt>
                <c:pt idx="8">
                  <c:v>3554.9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3424">
              <a:solidFill>
                <a:srgbClr val="000000"/>
              </a:solidFill>
              <a:prstDash val="solid"/>
            </a:ln>
          </c:spPr>
          <c:dLbls>
            <c:spPr>
              <a:noFill/>
              <a:ln w="2684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000000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342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5966793196419113E-2"/>
                  <c:y val="-1.2083778131842245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1607270517137137E-2"/>
                  <c:y val="2.5015181500313275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3953446779138053E-2"/>
                  <c:y val="2.6202675793174854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4.6950310791174246E-2"/>
                  <c:y val="5.6692615464369643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4.3664136007575051E-2"/>
                  <c:y val="4.6521112624825075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0385499060242894E-2"/>
                  <c:y val="-1.5638071394613942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4.8791440289927712E-2"/>
                  <c:y val="7.8206736204694538E-3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5.2860061586653413E-2"/>
                  <c:y val="5.6688520656463324E-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5.534786603134513E-2"/>
                  <c:y val="0"/>
                </c:manualLayout>
              </c:layout>
              <c:dLblPos val="ctr"/>
              <c:showVal val="1"/>
            </c:dLbl>
            <c:spPr>
              <a:noFill/>
              <a:ln w="2684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gapWidth val="30"/>
        <c:overlap val="100"/>
        <c:axId val="192839680"/>
        <c:axId val="192841216"/>
      </c:barChart>
      <c:catAx>
        <c:axId val="19283968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3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841216"/>
        <c:crosses val="autoZero"/>
        <c:auto val="1"/>
        <c:lblAlgn val="ctr"/>
        <c:lblOffset val="100"/>
        <c:tickLblSkip val="2"/>
        <c:tickMarkSkip val="1"/>
      </c:catAx>
      <c:valAx>
        <c:axId val="192841216"/>
        <c:scaling>
          <c:orientation val="minMax"/>
        </c:scaling>
        <c:axPos val="b"/>
        <c:numFmt formatCode="General" sourceLinked="1"/>
        <c:tickLblPos val="nextTo"/>
        <c:spPr>
          <a:ln w="33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839680"/>
        <c:crosses val="autoZero"/>
        <c:crossBetween val="between"/>
      </c:valAx>
      <c:spPr>
        <a:noFill/>
        <a:ln w="25337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15108834827144807"/>
          <c:y val="0.90109890109890112"/>
          <c:w val="0.72599231754161364"/>
          <c:h val="8.5714285714285743E-2"/>
        </c:manualLayout>
      </c:layout>
      <c:spPr>
        <a:solidFill>
          <a:srgbClr val="FFFFFF"/>
        </a:solidFill>
        <a:ln w="3356">
          <a:solidFill>
            <a:srgbClr val="000000"/>
          </a:solidFill>
          <a:prstDash val="solid"/>
        </a:ln>
      </c:spPr>
      <c:txPr>
        <a:bodyPr/>
        <a:lstStyle/>
        <a:p>
          <a:pPr>
            <a:defRPr sz="8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4"/>
      <a:srcRect/>
      <a:tile tx="0" ty="0" sx="100000" sy="100000" flip="none" algn="tl"/>
    </a:blipFill>
    <a:ln>
      <a:noFill/>
    </a:ln>
  </c:spPr>
  <c:txPr>
    <a:bodyPr/>
    <a:lstStyle/>
    <a:p>
      <a:pPr>
        <a:defRPr sz="84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49185667752446"/>
          <c:y val="4.9230769230769231E-2"/>
          <c:w val="0.87296416938110755"/>
          <c:h val="0.7415384615384617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Инвестиции в основной капитал (млн. рублей)</c:v>
                </c:pt>
              </c:strCache>
            </c:strRef>
          </c:tx>
          <c:spPr>
            <a:gradFill rotWithShape="0">
              <a:gsLst>
                <a:gs pos="0">
                  <a:srgbClr val="00CCFF"/>
                </a:gs>
                <a:gs pos="100000">
                  <a:srgbClr val="0000FF"/>
                </a:gs>
              </a:gsLst>
              <a:lin ang="18900000" scaled="1"/>
            </a:gradFill>
            <a:ln w="954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7100059706277441E-3"/>
                  <c:y val="0.1734576002589553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3808300755303216E-3"/>
                  <c:y val="0.2463160591516924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3866983304132043E-3"/>
                  <c:y val="0.221027246319894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3946494015733765E-3"/>
                  <c:y val="0.1953725514861942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8711546614842653E-3"/>
                  <c:y val="0.2225624933362699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0.20944251702271771"/>
                </c:manualLayout>
              </c:layout>
              <c:dLblPos val="outEnd"/>
              <c:showVal val="1"/>
            </c:dLbl>
            <c:numFmt formatCode="0.0" sourceLinked="0"/>
            <c:spPr>
              <a:solidFill>
                <a:srgbClr val="FFFFFF"/>
              </a:solidFill>
              <a:ln w="238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99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2015
отчет</c:v>
                </c:pt>
                <c:pt idx="1">
                  <c:v>2016
отчет</c:v>
                </c:pt>
                <c:pt idx="2">
                  <c:v>2017
оценка</c:v>
                </c:pt>
                <c:pt idx="3">
                  <c:v>2018
прогноз</c:v>
                </c:pt>
                <c:pt idx="4">
                  <c:v>2019
прогноз</c:v>
                </c:pt>
                <c:pt idx="5">
                  <c:v>2020
прогноз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1290.0999999999999</c:v>
                </c:pt>
                <c:pt idx="1">
                  <c:v>1260.8</c:v>
                </c:pt>
                <c:pt idx="2">
                  <c:v>1300</c:v>
                </c:pt>
                <c:pt idx="3">
                  <c:v>1400.3</c:v>
                </c:pt>
                <c:pt idx="4" formatCode="General">
                  <c:v>1500</c:v>
                </c:pt>
                <c:pt idx="5" formatCode="General">
                  <c:v>1600</c:v>
                </c:pt>
              </c:numCache>
            </c:numRef>
          </c:val>
        </c:ser>
        <c:axId val="192772352"/>
        <c:axId val="192798720"/>
      </c:barChart>
      <c:catAx>
        <c:axId val="192772352"/>
        <c:scaling>
          <c:orientation val="minMax"/>
        </c:scaling>
        <c:axPos val="b"/>
        <c:majorGridlines>
          <c:spPr>
            <a:ln w="238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23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/>
            </a:pPr>
            <a:endParaRPr lang="ru-RU"/>
          </a:p>
        </c:txPr>
        <c:crossAx val="192798720"/>
        <c:crosses val="autoZero"/>
        <c:lblAlgn val="ctr"/>
        <c:lblOffset val="100"/>
        <c:tickLblSkip val="1"/>
        <c:tickMarkSkip val="1"/>
      </c:catAx>
      <c:valAx>
        <c:axId val="192798720"/>
        <c:scaling>
          <c:orientation val="minMax"/>
          <c:max val="2000"/>
          <c:min val="100"/>
        </c:scaling>
        <c:axPos val="l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млн.руб.</a:t>
                </a:r>
              </a:p>
            </c:rich>
          </c:tx>
          <c:layout>
            <c:manualLayout>
              <c:xMode val="edge"/>
              <c:yMode val="edge"/>
              <c:x val="8.1433327128244727E-3"/>
              <c:y val="0.2622902995864172"/>
            </c:manualLayout>
          </c:layout>
          <c:spPr>
            <a:noFill/>
            <a:ln w="19095">
              <a:noFill/>
            </a:ln>
          </c:spPr>
        </c:title>
        <c:numFmt formatCode="0.0" sourceLinked="0"/>
        <c:majorTickMark val="cross"/>
        <c:tickLblPos val="nextTo"/>
        <c:spPr>
          <a:ln w="23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/>
            </a:pPr>
            <a:endParaRPr lang="ru-RU"/>
          </a:p>
        </c:txPr>
        <c:crossAx val="192772352"/>
        <c:crosses val="autoZero"/>
        <c:crossBetween val="between"/>
        <c:majorUnit val="200"/>
        <c:minorUnit val="100"/>
      </c:valAx>
      <c:spPr>
        <a:gradFill rotWithShape="0">
          <a:gsLst>
            <a:gs pos="0">
              <a:srgbClr val="CCFFFF"/>
            </a:gs>
            <a:gs pos="100000">
              <a:srgbClr val="CCFFFF">
                <a:gamma/>
                <a:shade val="92549"/>
                <a:invGamma/>
              </a:srgbClr>
            </a:gs>
          </a:gsLst>
          <a:lin ang="5400000" scaled="1"/>
        </a:gradFill>
        <a:ln w="1908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53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11"/>
      <c:hPercent val="40"/>
      <c:rotY val="356"/>
      <c:depthPercent val="500"/>
      <c:rAngAx val="1"/>
    </c:view3D>
    <c:plotArea>
      <c:layout>
        <c:manualLayout>
          <c:layoutTarget val="inner"/>
          <c:xMode val="edge"/>
          <c:yMode val="edge"/>
          <c:x val="0"/>
          <c:y val="9.5300671959425209E-2"/>
          <c:w val="1"/>
          <c:h val="0.605672592397580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Инвестиции, всего, млн. руб.</c:v>
                </c:pt>
              </c:strCache>
            </c:strRef>
          </c:tx>
          <c:spPr>
            <a:solidFill>
              <a:srgbClr val="FF0000"/>
            </a:solidFill>
            <a:ln w="15866">
              <a:solidFill>
                <a:srgbClr val="000000"/>
              </a:solidFill>
            </a:ln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 г.    факт</c:v>
                </c:pt>
                <c:pt idx="1">
                  <c:v>2017 г. оценка</c:v>
                </c:pt>
                <c:pt idx="2">
                  <c:v>2018 г. прогноз</c:v>
                </c:pt>
                <c:pt idx="3">
                  <c:v>2019 г. прогноз</c:v>
                </c:pt>
                <c:pt idx="4">
                  <c:v>2020 г.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1260.8</c:v>
                </c:pt>
                <c:pt idx="1">
                  <c:v>1300</c:v>
                </c:pt>
                <c:pt idx="2">
                  <c:v>1400.3</c:v>
                </c:pt>
                <c:pt idx="3">
                  <c:v>1500</c:v>
                </c:pt>
                <c:pt idx="4">
                  <c:v>1600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источники</c:v>
                </c:pt>
              </c:strCache>
            </c:strRef>
          </c:tx>
          <c:spPr>
            <a:solidFill>
              <a:srgbClr val="0070C0"/>
            </a:solidFill>
            <a:ln w="15866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4.6296296296296719E-3"/>
                  <c:y val="0.1150793650793642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5238095238095247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8.3333333333333343E-2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9.9206349206350075E-2"/>
                </c:manualLayout>
              </c:layout>
              <c:showVal val="1"/>
            </c:dLbl>
            <c:dLbl>
              <c:idx val="4"/>
              <c:layout>
                <c:manualLayout>
                  <c:x val="1.157407407407416E-2"/>
                  <c:y val="8.730158730158713E-2"/>
                </c:manualLayout>
              </c:layout>
              <c:showVal val="1"/>
            </c:dLbl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 г.    факт</c:v>
                </c:pt>
                <c:pt idx="1">
                  <c:v>2017 г. оценка</c:v>
                </c:pt>
                <c:pt idx="2">
                  <c:v>2018 г. прогноз</c:v>
                </c:pt>
                <c:pt idx="3">
                  <c:v>2019 г. прогноз</c:v>
                </c:pt>
                <c:pt idx="4">
                  <c:v>2020 г.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1140</c:v>
                </c:pt>
                <c:pt idx="1">
                  <c:v>1230.4000000000001</c:v>
                </c:pt>
                <c:pt idx="2">
                  <c:v>1328.8</c:v>
                </c:pt>
                <c:pt idx="3">
                  <c:v>1427.5</c:v>
                </c:pt>
                <c:pt idx="4">
                  <c:v>1526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бюджет</c:v>
                </c:pt>
              </c:strCache>
            </c:strRef>
          </c:tx>
          <c:spPr>
            <a:solidFill>
              <a:srgbClr val="7030A0"/>
            </a:solidFill>
            <a:ln w="15866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-3.1363132177064518E-2"/>
                  <c:y val="1.0144466738497561E-2"/>
                </c:manualLayout>
              </c:layout>
              <c:showVal val="1"/>
            </c:dLbl>
            <c:dLbl>
              <c:idx val="1"/>
              <c:layout>
                <c:manualLayout>
                  <c:x val="-2.0313332992867601E-2"/>
                  <c:y val="1.3064003614057915E-2"/>
                </c:manualLayout>
              </c:layout>
              <c:showVal val="1"/>
            </c:dLbl>
            <c:dLbl>
              <c:idx val="2"/>
              <c:layout>
                <c:manualLayout>
                  <c:x val="-2.8175563694147789E-2"/>
                  <c:y val="1.5360701708330541E-2"/>
                </c:manualLayout>
              </c:layout>
              <c:showVal val="1"/>
            </c:dLbl>
            <c:dLbl>
              <c:idx val="3"/>
              <c:layout>
                <c:manualLayout>
                  <c:x val="-3.4424458655237723E-2"/>
                  <c:y val="1.7187801662645146E-2"/>
                </c:manualLayout>
              </c:layout>
              <c:showVal val="1"/>
            </c:dLbl>
            <c:dLbl>
              <c:idx val="4"/>
              <c:layout>
                <c:manualLayout>
                  <c:x val="-2.3894459661465799E-2"/>
                  <c:y val="1.3595726338338701E-2"/>
                </c:manualLayout>
              </c:layout>
              <c:showVal val="1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 г.    факт</c:v>
                </c:pt>
                <c:pt idx="1">
                  <c:v>2017 г. оценка</c:v>
                </c:pt>
                <c:pt idx="2">
                  <c:v>2018 г. прогноз</c:v>
                </c:pt>
                <c:pt idx="3">
                  <c:v>2019 г. прогноз</c:v>
                </c:pt>
                <c:pt idx="4">
                  <c:v>2020 г. прогноз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74.2</c:v>
                </c:pt>
                <c:pt idx="1">
                  <c:v>30.815000000000001</c:v>
                </c:pt>
                <c:pt idx="2">
                  <c:v>31</c:v>
                </c:pt>
                <c:pt idx="3">
                  <c:v>31.5</c:v>
                </c:pt>
                <c:pt idx="4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областной бюджет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ln w="12692">
              <a:solidFill>
                <a:srgbClr val="000000"/>
              </a:solidFill>
            </a:ln>
          </c:spPr>
          <c:cat>
            <c:strRef>
              <c:f>Лист1!$A$2:$A$6</c:f>
              <c:strCache>
                <c:ptCount val="5"/>
                <c:pt idx="0">
                  <c:v>2016 г.    факт</c:v>
                </c:pt>
                <c:pt idx="1">
                  <c:v>2017 г. оценка</c:v>
                </c:pt>
                <c:pt idx="2">
                  <c:v>2018 г. прогноз</c:v>
                </c:pt>
                <c:pt idx="3">
                  <c:v>2019 г. прогноз</c:v>
                </c:pt>
                <c:pt idx="4">
                  <c:v>2020 г. прогноз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45.6</c:v>
                </c:pt>
                <c:pt idx="1">
                  <c:v>35.832000000000001</c:v>
                </c:pt>
                <c:pt idx="2">
                  <c:v>35.5</c:v>
                </c:pt>
                <c:pt idx="3">
                  <c:v>36</c:v>
                </c:pt>
                <c:pt idx="4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rgbClr val="FFFF00"/>
            </a:solidFill>
            <a:ln w="15866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-1.0351507294141681E-2"/>
                  <c:y val="-2.3102380677788768E-2"/>
                </c:manualLayout>
              </c:layout>
              <c:showVal val="1"/>
            </c:dLbl>
            <c:dLbl>
              <c:idx val="1"/>
              <c:layout>
                <c:manualLayout>
                  <c:x val="-1.9264968147069111E-2"/>
                  <c:y val="-4.4506689384087424E-2"/>
                </c:manualLayout>
              </c:layout>
              <c:showVal val="1"/>
            </c:dLbl>
            <c:dLbl>
              <c:idx val="2"/>
              <c:layout>
                <c:manualLayout>
                  <c:x val="-6.4216560490230421E-3"/>
                  <c:y val="-3.2368501370245301E-2"/>
                </c:manualLayout>
              </c:layout>
              <c:showVal val="1"/>
            </c:dLbl>
            <c:dLbl>
              <c:idx val="3"/>
              <c:layout>
                <c:manualLayout>
                  <c:x val="-8.5622080653640527E-3"/>
                  <c:y val="-3.2368501370245335E-2"/>
                </c:manualLayout>
              </c:layout>
              <c:showVal val="1"/>
            </c:dLbl>
            <c:dLbl>
              <c:idx val="4"/>
              <c:layout>
                <c:manualLayout>
                  <c:x val="-1.2843312098046046E-2"/>
                  <c:y val="-5.259881472664881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 г.    факт</c:v>
                </c:pt>
                <c:pt idx="1">
                  <c:v>2017 г. оценка</c:v>
                </c:pt>
                <c:pt idx="2">
                  <c:v>2018 г. прогноз</c:v>
                </c:pt>
                <c:pt idx="3">
                  <c:v>2019 г. прогноз</c:v>
                </c:pt>
                <c:pt idx="4">
                  <c:v>2020 г. прогноз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gapWidth val="113"/>
        <c:gapDepth val="138"/>
        <c:shape val="box"/>
        <c:axId val="192860544"/>
        <c:axId val="192862080"/>
        <c:axId val="0"/>
      </c:bar3DChart>
      <c:catAx>
        <c:axId val="1928605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2862080"/>
        <c:crosses val="autoZero"/>
        <c:auto val="1"/>
        <c:lblAlgn val="ctr"/>
        <c:lblOffset val="100"/>
      </c:catAx>
      <c:valAx>
        <c:axId val="192862080"/>
        <c:scaling>
          <c:orientation val="minMax"/>
        </c:scaling>
        <c:delete val="1"/>
        <c:axPos val="r"/>
        <c:numFmt formatCode="General" sourceLinked="1"/>
        <c:tickLblPos val="nextTo"/>
        <c:crossAx val="192860544"/>
        <c:crosses val="max"/>
        <c:crossBetween val="between"/>
        <c:majorUnit val="200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2.6041666666666917E-3"/>
          <c:y val="0.84862385321101574"/>
          <c:w val="0.98307291666666652"/>
          <c:h val="0.11009174311926606"/>
        </c:manualLayout>
      </c:layout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3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Ввод жилья в</a:t>
            </a:r>
            <a:r>
              <a:rPr lang="ru-RU" baseline="0"/>
              <a:t> Кетовском районе</a:t>
            </a:r>
            <a:endParaRPr lang="ru-RU"/>
          </a:p>
        </c:rich>
      </c:tx>
      <c:layout>
        <c:manualLayout>
          <c:xMode val="edge"/>
          <c:yMode val="edge"/>
          <c:x val="0.26966287065356531"/>
          <c:y val="0"/>
        </c:manualLayout>
      </c:layout>
      <c:spPr>
        <a:noFill/>
        <a:ln w="22306">
          <a:noFill/>
        </a:ln>
      </c:spPr>
    </c:title>
    <c:view3D>
      <c:rotX val="39"/>
      <c:hPercent val="41"/>
      <c:rotY val="44"/>
      <c:depthPercent val="100"/>
      <c:rAngAx val="1"/>
    </c:view3D>
    <c:floor>
      <c:spPr>
        <a:solidFill>
          <a:srgbClr val="FFCC99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075297225891701E-2"/>
          <c:y val="9.2307692307692882E-2"/>
          <c:w val="0.88507265521796252"/>
          <c:h val="0.77435897435897771"/>
        </c:manualLayout>
      </c:layout>
      <c:bar3DChart>
        <c:barDir val="col"/>
        <c:grouping val="clustered"/>
        <c:ser>
          <c:idx val="1"/>
          <c:order val="1"/>
          <c:tx>
            <c:strRef>
              <c:f>Sheet1!$A$2</c:f>
            </c:strRef>
          </c:tx>
          <c:spPr>
            <a:solidFill>
              <a:srgbClr val="FF99CC"/>
            </a:solidFill>
            <a:ln w="11149">
              <a:solidFill>
                <a:srgbClr val="000000"/>
              </a:solidFill>
              <a:prstDash val="solid"/>
            </a:ln>
          </c:spPr>
          <c:cat>
            <c:multiLvlStrRef>
              <c:f>Sheet1!$B$1:$G$1</c:f>
            </c:multiLvlStrRef>
          </c:cat>
          <c:val>
            <c:numRef>
              <c:f>Sheet1!$B$2:$G$2</c:f>
            </c:numRef>
          </c:val>
        </c:ser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FF99CC"/>
            </a:solidFill>
            <a:ln w="1114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114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66FF"/>
              </a:solidFill>
              <a:ln w="1114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114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1114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FF"/>
              </a:solidFill>
              <a:ln w="1114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4690022794349636E-2"/>
                  <c:y val="-1.7070812114477725E-3"/>
                </c:manualLayout>
              </c:layout>
              <c:spPr>
                <a:noFill/>
                <a:ln w="223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</c:dLbl>
            <c:dLbl>
              <c:idx val="1"/>
              <c:layout>
                <c:manualLayout>
                  <c:x val="2.7983000523082013E-2"/>
                  <c:y val="-2.5895057859062851E-2"/>
                </c:manualLayout>
              </c:layout>
              <c:spPr>
                <a:noFill/>
                <a:ln w="223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layout>
                <c:manualLayout>
                  <c:x val="0"/>
                  <c:y val="-3.8644369409683486E-2"/>
                </c:manualLayout>
              </c:layout>
              <c:spPr>
                <a:noFill/>
                <a:ln w="223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</c:dLbl>
            <c:dLbl>
              <c:idx val="3"/>
              <c:layout>
                <c:manualLayout>
                  <c:x val="4.2026064529352494E-3"/>
                  <c:y val="-3.2787603160728256E-2"/>
                </c:manualLayout>
              </c:layout>
              <c:spPr>
                <a:noFill/>
                <a:ln w="223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</c:dLbl>
            <c:dLbl>
              <c:idx val="4"/>
              <c:layout>
                <c:manualLayout>
                  <c:x val="4.3383947939262795E-3"/>
                  <c:y val="-2.8553951171023096E-2"/>
                </c:manualLayout>
              </c:layout>
              <c:spPr>
                <a:noFill/>
                <a:ln w="223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</c:dLbl>
            <c:dLbl>
              <c:idx val="5"/>
              <c:layout>
                <c:manualLayout>
                  <c:x val="6.3038242779305505E-3"/>
                  <c:y val="-3.1164488901478337E-2"/>
                </c:manualLayout>
              </c:layout>
              <c:spPr>
                <a:noFill/>
                <a:ln w="223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</c:dLbl>
            <c:spPr>
              <a:noFill/>
              <a:ln w="22306">
                <a:noFill/>
              </a:ln>
            </c:spPr>
            <c:showLegendKey val="1"/>
            <c:showVal val="1"/>
          </c:dLbls>
          <c:cat>
            <c:strRef>
              <c:f>Sheet1!$B$1:$G$1</c:f>
              <c:strCache>
                <c:ptCount val="6"/>
                <c:pt idx="0">
                  <c:v>2015 отчет</c:v>
                </c:pt>
                <c:pt idx="1">
                  <c:v>2016 отчет</c:v>
                </c:pt>
                <c:pt idx="2">
                  <c:v>2017 оценка</c:v>
                </c:pt>
                <c:pt idx="3">
                  <c:v>2018 прогноз</c:v>
                </c:pt>
                <c:pt idx="4">
                  <c:v>2019 прогноз</c:v>
                </c:pt>
                <c:pt idx="5">
                  <c:v>2020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48.56</c:v>
                </c:pt>
                <c:pt idx="1">
                  <c:v>55.9</c:v>
                </c:pt>
                <c:pt idx="2">
                  <c:v>35</c:v>
                </c:pt>
                <c:pt idx="3">
                  <c:v>35.5</c:v>
                </c:pt>
                <c:pt idx="4">
                  <c:v>36</c:v>
                </c:pt>
                <c:pt idx="5">
                  <c:v>36.5</c:v>
                </c:pt>
              </c:numCache>
            </c:numRef>
          </c:val>
        </c:ser>
        <c:gapDepth val="0"/>
        <c:shape val="pyramid"/>
        <c:axId val="193002496"/>
        <c:axId val="192480000"/>
        <c:axId val="0"/>
      </c:bar3DChart>
      <c:catAx>
        <c:axId val="193002496"/>
        <c:scaling>
          <c:orientation val="minMax"/>
        </c:scaling>
        <c:axPos val="b"/>
        <c:majorGridlines>
          <c:spPr>
            <a:ln w="2788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inorTickMark val="out"/>
        <c:tickLblPos val="low"/>
        <c:spPr>
          <a:ln w="27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480000"/>
        <c:crosses val="autoZero"/>
        <c:auto val="1"/>
        <c:lblAlgn val="ctr"/>
        <c:lblOffset val="100"/>
        <c:tickLblSkip val="1"/>
        <c:tickMarkSkip val="1"/>
      </c:catAx>
      <c:valAx>
        <c:axId val="192480000"/>
        <c:scaling>
          <c:orientation val="minMax"/>
          <c:max val="60"/>
          <c:min val="0"/>
        </c:scaling>
        <c:axPos val="l"/>
        <c:title>
          <c:tx>
            <c:rich>
              <a:bodyPr/>
              <a:lstStyle/>
              <a:p>
                <a:pPr>
                  <a:defRPr sz="91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тыс.м2</a:t>
                </a:r>
              </a:p>
            </c:rich>
          </c:tx>
          <c:layout>
            <c:manualLayout>
              <c:xMode val="edge"/>
              <c:yMode val="edge"/>
              <c:x val="5.7718487668380614E-3"/>
              <c:y val="0.50491767307221647"/>
            </c:manualLayout>
          </c:layout>
          <c:spPr>
            <a:noFill/>
            <a:ln w="22306">
              <a:noFill/>
            </a:ln>
          </c:spPr>
        </c:title>
        <c:numFmt formatCode="General" sourceLinked="1"/>
        <c:tickLblPos val="nextTo"/>
        <c:spPr>
          <a:ln w="27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002496"/>
        <c:crosses val="autoZero"/>
        <c:crossBetween val="between"/>
        <c:minorUnit val="0.5"/>
      </c:valAx>
      <c:spPr>
        <a:noFill/>
        <a:ln w="2319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5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5775-C79F-406E-A448-4A040F3D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12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555</cp:lastModifiedBy>
  <cp:revision>200</cp:revision>
  <cp:lastPrinted>2015-10-14T12:15:00Z</cp:lastPrinted>
  <dcterms:created xsi:type="dcterms:W3CDTF">2017-09-11T08:46:00Z</dcterms:created>
  <dcterms:modified xsi:type="dcterms:W3CDTF">2017-11-01T06:26:00Z</dcterms:modified>
</cp:coreProperties>
</file>